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D1A" w:rsidRDefault="001B6D1A" w:rsidP="008B0DAF">
      <w:pPr>
        <w:spacing w:before="100" w:beforeAutospacing="1" w:after="120"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643"/>
      </w:tblGrid>
      <w:tr w:rsidR="00A46045" w:rsidRPr="00AD3D25" w:rsidTr="001B6D1A">
        <w:tc>
          <w:tcPr>
            <w:tcW w:w="4429" w:type="dxa"/>
          </w:tcPr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  <w:r w:rsidRPr="00081F39">
              <w:rPr>
                <w:rFonts w:cstheme="minorHAnsi"/>
                <w:bCs/>
              </w:rPr>
              <w:t xml:space="preserve">Numer sprawy:  </w:t>
            </w:r>
            <w:r w:rsidR="009A6982" w:rsidRPr="00084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ZP.272.0</w:t>
            </w:r>
            <w:r w:rsidR="00361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9A6982" w:rsidRPr="00084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</w:tc>
        <w:tc>
          <w:tcPr>
            <w:tcW w:w="4643" w:type="dxa"/>
          </w:tcPr>
          <w:p w:rsidR="00A46045" w:rsidRPr="00081F39" w:rsidRDefault="00A46045" w:rsidP="009A6982">
            <w:pPr>
              <w:spacing w:before="100" w:beforeAutospacing="1" w:after="120" w:line="276" w:lineRule="auto"/>
              <w:jc w:val="right"/>
              <w:rPr>
                <w:rFonts w:cstheme="minorHAnsi"/>
              </w:rPr>
            </w:pPr>
          </w:p>
        </w:tc>
      </w:tr>
      <w:tr w:rsidR="00A46045" w:rsidRPr="00AD3D25" w:rsidTr="001B6D1A">
        <w:tc>
          <w:tcPr>
            <w:tcW w:w="9072" w:type="dxa"/>
            <w:gridSpan w:val="2"/>
            <w:vAlign w:val="center"/>
          </w:tcPr>
          <w:p w:rsidR="00A46045" w:rsidRPr="000F1009" w:rsidRDefault="00A46045" w:rsidP="008B0DAF">
            <w:pPr>
              <w:spacing w:before="100" w:beforeAutospacing="1" w:after="120" w:line="27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46045">
              <w:rPr>
                <w:sz w:val="44"/>
                <w:szCs w:val="44"/>
              </w:rPr>
              <w:t>Szczegółowy Opis Przedmiotu Zamówienia</w:t>
            </w:r>
            <w:r w:rsidR="009F060A">
              <w:rPr>
                <w:sz w:val="44"/>
                <w:szCs w:val="44"/>
              </w:rPr>
              <w:t xml:space="preserve"> </w:t>
            </w:r>
          </w:p>
          <w:p w:rsidR="00A46045" w:rsidRDefault="00A46045" w:rsidP="008B0DAF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</w:p>
          <w:p w:rsidR="00A46045" w:rsidRPr="00A46045" w:rsidRDefault="00A46045" w:rsidP="000A09CA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  <w:r w:rsidRPr="00A46045">
              <w:rPr>
                <w:sz w:val="28"/>
                <w:szCs w:val="28"/>
              </w:rPr>
              <w:t xml:space="preserve">na </w:t>
            </w:r>
            <w:bookmarkStart w:id="0" w:name="_Hlk96781142"/>
            <w:r w:rsidRPr="00A46045">
              <w:rPr>
                <w:sz w:val="28"/>
                <w:szCs w:val="28"/>
              </w:rPr>
              <w:t>dostaw</w:t>
            </w:r>
            <w:r w:rsidR="00A0646F">
              <w:rPr>
                <w:sz w:val="28"/>
                <w:szCs w:val="28"/>
              </w:rPr>
              <w:t>ę</w:t>
            </w:r>
            <w:r w:rsidRPr="00A46045">
              <w:rPr>
                <w:sz w:val="28"/>
                <w:szCs w:val="28"/>
              </w:rPr>
              <w:t xml:space="preserve"> </w:t>
            </w:r>
            <w:r w:rsidR="00C059B9">
              <w:rPr>
                <w:sz w:val="28"/>
                <w:szCs w:val="28"/>
              </w:rPr>
              <w:t xml:space="preserve">sprzętu i oprogramowania informatycznego </w:t>
            </w:r>
            <w:r w:rsidR="00A0646F">
              <w:rPr>
                <w:sz w:val="28"/>
                <w:szCs w:val="28"/>
              </w:rPr>
              <w:t>związaną</w:t>
            </w:r>
            <w:r w:rsidRPr="00A46045">
              <w:rPr>
                <w:sz w:val="28"/>
                <w:szCs w:val="28"/>
              </w:rPr>
              <w:t xml:space="preserve"> z realizacją </w:t>
            </w:r>
            <w:r w:rsidR="00A0646F">
              <w:rPr>
                <w:sz w:val="28"/>
                <w:szCs w:val="28"/>
              </w:rPr>
              <w:t xml:space="preserve">grantu w ramach </w:t>
            </w:r>
            <w:r w:rsidR="007434EC">
              <w:rPr>
                <w:sz w:val="28"/>
                <w:szCs w:val="28"/>
              </w:rPr>
              <w:t>projektu</w:t>
            </w:r>
            <w:r w:rsidR="000A09CA">
              <w:rPr>
                <w:sz w:val="28"/>
                <w:szCs w:val="28"/>
              </w:rPr>
              <w:t xml:space="preserve"> </w:t>
            </w:r>
            <w:r w:rsidRPr="00A46045">
              <w:rPr>
                <w:sz w:val="28"/>
                <w:szCs w:val="28"/>
              </w:rPr>
              <w:t>„</w:t>
            </w:r>
            <w:r w:rsidR="000617BB">
              <w:rPr>
                <w:sz w:val="28"/>
                <w:szCs w:val="28"/>
              </w:rPr>
              <w:t>Cyberbezpieczny Samorząd</w:t>
            </w:r>
            <w:r w:rsidRPr="00A46045">
              <w:rPr>
                <w:sz w:val="28"/>
                <w:szCs w:val="28"/>
              </w:rPr>
              <w:t>”</w:t>
            </w:r>
          </w:p>
          <w:bookmarkEnd w:id="0"/>
          <w:p w:rsidR="00A46045" w:rsidRPr="00AD3D25" w:rsidRDefault="00A46045" w:rsidP="008B0DAF">
            <w:pPr>
              <w:spacing w:before="100" w:beforeAutospacing="1"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46045" w:rsidRDefault="00A46045" w:rsidP="008B0DAF">
      <w:pPr>
        <w:spacing w:before="100" w:beforeAutospacing="1" w:after="120" w:line="276" w:lineRule="auto"/>
        <w:jc w:val="right"/>
      </w:pPr>
    </w:p>
    <w:p w:rsidR="00A46045" w:rsidRDefault="00A46045" w:rsidP="008B0DAF">
      <w:pPr>
        <w:spacing w:before="100" w:beforeAutospacing="1" w:after="120" w:line="276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28950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F3894" w:rsidRDefault="00EF3894" w:rsidP="008B0DAF">
          <w:pPr>
            <w:pStyle w:val="Nagwekspisutreci"/>
            <w:spacing w:before="100" w:beforeAutospacing="1" w:after="120" w:line="276" w:lineRule="auto"/>
          </w:pPr>
          <w:r>
            <w:t>Spis treści</w:t>
          </w:r>
        </w:p>
        <w:p w:rsidR="004D0E67" w:rsidRDefault="001D455F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r>
            <w:fldChar w:fldCharType="begin"/>
          </w:r>
          <w:r w:rsidR="00EF3894">
            <w:instrText xml:space="preserve"> TOC \o "1-3" \h \z \u </w:instrText>
          </w:r>
          <w:r>
            <w:fldChar w:fldCharType="separate"/>
          </w:r>
          <w:hyperlink w:anchor="_Toc210373434" w:history="1">
            <w:r w:rsidR="004D0E67" w:rsidRPr="007B5765">
              <w:rPr>
                <w:rStyle w:val="Hipercze"/>
                <w:noProof/>
              </w:rPr>
              <w:t>1.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Zestawienie ilościowe.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4D0E6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5" w:history="1">
            <w:r w:rsidRPr="007B5765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Pr="007B5765">
              <w:rPr>
                <w:rStyle w:val="Hipercze"/>
                <w:noProof/>
              </w:rPr>
              <w:t>Zasada równoważności rozwiązań i neutralności technologicznej.</w:t>
            </w:r>
            <w:r>
              <w:rPr>
                <w:noProof/>
                <w:webHidden/>
              </w:rPr>
              <w:tab/>
            </w:r>
            <w:r w:rsidR="001D455F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_Toc210373435 \h </w:instrText>
            </w:r>
            <w:r w:rsidR="001D455F">
              <w:rPr>
                <w:noProof/>
                <w:webHidden/>
              </w:rPr>
            </w:r>
            <w:r w:rsidR="001D45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D455F">
              <w:rPr>
                <w:noProof/>
                <w:webHidden/>
              </w:rPr>
              <w:fldChar w:fldCharType="end"/>
            </w:r>
          </w:hyperlink>
        </w:p>
        <w:p w:rsidR="004D0E67" w:rsidRDefault="004D0E6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6" w:history="1">
            <w:r w:rsidRPr="007B5765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Pr="007B5765">
              <w:rPr>
                <w:rStyle w:val="Hipercze"/>
                <w:noProof/>
              </w:rPr>
              <w:t>Przedmiot zamówienia dla części nr 1.</w:t>
            </w:r>
            <w:r>
              <w:rPr>
                <w:noProof/>
                <w:webHidden/>
              </w:rPr>
              <w:tab/>
            </w:r>
            <w:r w:rsidR="001D455F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_Toc210373436 \h </w:instrText>
            </w:r>
            <w:r w:rsidR="001D455F">
              <w:rPr>
                <w:noProof/>
                <w:webHidden/>
              </w:rPr>
            </w:r>
            <w:r w:rsidR="001D45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D455F">
              <w:rPr>
                <w:noProof/>
                <w:webHidden/>
              </w:rPr>
              <w:fldChar w:fldCharType="end"/>
            </w:r>
          </w:hyperlink>
        </w:p>
        <w:p w:rsidR="004D0E67" w:rsidRDefault="004D0E6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7" w:history="1">
            <w:r w:rsidRPr="007B5765">
              <w:rPr>
                <w:rStyle w:val="Hipercze"/>
                <w:noProof/>
              </w:rPr>
              <w:t>3.1.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Pr="007B5765">
              <w:rPr>
                <w:rStyle w:val="Hipercze"/>
                <w:noProof/>
              </w:rPr>
              <w:t>Wymagania ogólne.</w:t>
            </w:r>
            <w:r>
              <w:rPr>
                <w:noProof/>
                <w:webHidden/>
              </w:rPr>
              <w:tab/>
            </w:r>
            <w:r w:rsidR="001D455F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_Toc210373437 \h </w:instrText>
            </w:r>
            <w:r w:rsidR="001D455F">
              <w:rPr>
                <w:noProof/>
                <w:webHidden/>
              </w:rPr>
            </w:r>
            <w:r w:rsidR="001D45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D455F">
              <w:rPr>
                <w:noProof/>
                <w:webHidden/>
              </w:rPr>
              <w:fldChar w:fldCharType="end"/>
            </w:r>
          </w:hyperlink>
        </w:p>
        <w:p w:rsidR="004D0E67" w:rsidRDefault="004D0E6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8" w:history="1">
            <w:r w:rsidRPr="007B5765">
              <w:rPr>
                <w:rStyle w:val="Hipercze"/>
                <w:noProof/>
              </w:rPr>
              <w:t>3.2.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Pr="007B5765">
              <w:rPr>
                <w:rStyle w:val="Hipercze"/>
                <w:noProof/>
              </w:rPr>
              <w:t>Zakup serwera (1 szt.).</w:t>
            </w:r>
            <w:r>
              <w:rPr>
                <w:noProof/>
                <w:webHidden/>
              </w:rPr>
              <w:tab/>
            </w:r>
            <w:r w:rsidR="001D455F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_Toc210373438 \h </w:instrText>
            </w:r>
            <w:r w:rsidR="001D455F">
              <w:rPr>
                <w:noProof/>
                <w:webHidden/>
              </w:rPr>
            </w:r>
            <w:r w:rsidR="001D45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1D455F">
              <w:rPr>
                <w:noProof/>
                <w:webHidden/>
              </w:rPr>
              <w:fldChar w:fldCharType="end"/>
            </w:r>
          </w:hyperlink>
        </w:p>
        <w:p w:rsidR="004D0E67" w:rsidRDefault="004D0E6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9" w:history="1">
            <w:r w:rsidRPr="007B5765">
              <w:rPr>
                <w:rStyle w:val="Hipercze"/>
                <w:noProof/>
              </w:rPr>
              <w:t>3.3.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Pr="007B5765">
              <w:rPr>
                <w:rStyle w:val="Hipercze"/>
                <w:noProof/>
              </w:rPr>
              <w:t>Zakup macierzy (1 szt.).</w:t>
            </w:r>
            <w:r>
              <w:rPr>
                <w:noProof/>
                <w:webHidden/>
              </w:rPr>
              <w:tab/>
            </w:r>
            <w:r w:rsidR="001D455F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_Toc210373439 \h </w:instrText>
            </w:r>
            <w:r w:rsidR="001D455F">
              <w:rPr>
                <w:noProof/>
                <w:webHidden/>
              </w:rPr>
            </w:r>
            <w:r w:rsidR="001D45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D455F">
              <w:rPr>
                <w:noProof/>
                <w:webHidden/>
              </w:rPr>
              <w:fldChar w:fldCharType="end"/>
            </w:r>
          </w:hyperlink>
        </w:p>
        <w:p w:rsidR="004D0E67" w:rsidRDefault="004D0E6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0" w:history="1">
            <w:r w:rsidRPr="007B5765">
              <w:rPr>
                <w:rStyle w:val="Hipercze"/>
                <w:noProof/>
              </w:rPr>
              <w:t>3.4.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Pr="007B5765">
              <w:rPr>
                <w:rStyle w:val="Hipercze"/>
                <w:noProof/>
              </w:rPr>
              <w:t>Zakup UPS (1 szt.).</w:t>
            </w:r>
            <w:r>
              <w:rPr>
                <w:noProof/>
                <w:webHidden/>
              </w:rPr>
              <w:tab/>
            </w:r>
            <w:r w:rsidR="001D455F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_Toc210373440 \h </w:instrText>
            </w:r>
            <w:r w:rsidR="001D455F">
              <w:rPr>
                <w:noProof/>
                <w:webHidden/>
              </w:rPr>
            </w:r>
            <w:r w:rsidR="001D45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1D455F">
              <w:rPr>
                <w:noProof/>
                <w:webHidden/>
              </w:rPr>
              <w:fldChar w:fldCharType="end"/>
            </w:r>
          </w:hyperlink>
        </w:p>
        <w:p w:rsidR="004D0E67" w:rsidRDefault="004D0E6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1" w:history="1">
            <w:r w:rsidRPr="007B5765">
              <w:rPr>
                <w:rStyle w:val="Hipercze"/>
                <w:noProof/>
              </w:rPr>
              <w:t>3.5.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Pr="007B5765">
              <w:rPr>
                <w:rStyle w:val="Hipercze"/>
                <w:noProof/>
              </w:rPr>
              <w:t>Zakup UTM (1 szt.).</w:t>
            </w:r>
            <w:r>
              <w:rPr>
                <w:noProof/>
                <w:webHidden/>
              </w:rPr>
              <w:tab/>
            </w:r>
            <w:r w:rsidR="001D455F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_Toc210373441 \h </w:instrText>
            </w:r>
            <w:r w:rsidR="001D455F">
              <w:rPr>
                <w:noProof/>
                <w:webHidden/>
              </w:rPr>
            </w:r>
            <w:r w:rsidR="001D45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1D455F">
              <w:rPr>
                <w:noProof/>
                <w:webHidden/>
              </w:rPr>
              <w:fldChar w:fldCharType="end"/>
            </w:r>
          </w:hyperlink>
        </w:p>
        <w:p w:rsidR="004D0E67" w:rsidRDefault="004D0E6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2" w:history="1">
            <w:r w:rsidRPr="007B5765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Pr="007B5765">
              <w:rPr>
                <w:rStyle w:val="Hipercze"/>
                <w:noProof/>
              </w:rPr>
              <w:t>Opis przedmiotu zamówienia części nr 2.</w:t>
            </w:r>
            <w:r>
              <w:rPr>
                <w:noProof/>
                <w:webHidden/>
              </w:rPr>
              <w:tab/>
            </w:r>
            <w:r w:rsidR="001D455F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_Toc210373442 \h </w:instrText>
            </w:r>
            <w:r w:rsidR="001D455F">
              <w:rPr>
                <w:noProof/>
                <w:webHidden/>
              </w:rPr>
            </w:r>
            <w:r w:rsidR="001D45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1D455F">
              <w:rPr>
                <w:noProof/>
                <w:webHidden/>
              </w:rPr>
              <w:fldChar w:fldCharType="end"/>
            </w:r>
          </w:hyperlink>
        </w:p>
        <w:p w:rsidR="004D0E67" w:rsidRDefault="004D0E6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3" w:history="1">
            <w:r w:rsidRPr="007B5765">
              <w:rPr>
                <w:rStyle w:val="Hipercze"/>
                <w:noProof/>
              </w:rPr>
              <w:t>4.1.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Pr="007B5765">
              <w:rPr>
                <w:rStyle w:val="Hipercze"/>
                <w:noProof/>
              </w:rPr>
              <w:t>Wymagania ogólne.</w:t>
            </w:r>
            <w:r>
              <w:rPr>
                <w:noProof/>
                <w:webHidden/>
              </w:rPr>
              <w:tab/>
            </w:r>
            <w:r w:rsidR="001D455F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_Toc210373443 \h </w:instrText>
            </w:r>
            <w:r w:rsidR="001D455F">
              <w:rPr>
                <w:noProof/>
                <w:webHidden/>
              </w:rPr>
            </w:r>
            <w:r w:rsidR="001D45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1D455F">
              <w:rPr>
                <w:noProof/>
                <w:webHidden/>
              </w:rPr>
              <w:fldChar w:fldCharType="end"/>
            </w:r>
          </w:hyperlink>
        </w:p>
        <w:p w:rsidR="004D0E67" w:rsidRDefault="004D0E6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4" w:history="1">
            <w:r w:rsidRPr="007B5765">
              <w:rPr>
                <w:rStyle w:val="Hipercze"/>
                <w:noProof/>
              </w:rPr>
              <w:t>4.2.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Pr="007B5765">
              <w:rPr>
                <w:rStyle w:val="Hipercze"/>
                <w:noProof/>
              </w:rPr>
              <w:t>Zakup oprogramowania do agregacji logów (1 szt.).</w:t>
            </w:r>
            <w:r>
              <w:rPr>
                <w:noProof/>
                <w:webHidden/>
              </w:rPr>
              <w:tab/>
            </w:r>
            <w:r w:rsidR="001D455F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_Toc210373444 \h </w:instrText>
            </w:r>
            <w:r w:rsidR="001D455F">
              <w:rPr>
                <w:noProof/>
                <w:webHidden/>
              </w:rPr>
            </w:r>
            <w:r w:rsidR="001D45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1D455F">
              <w:rPr>
                <w:noProof/>
                <w:webHidden/>
              </w:rPr>
              <w:fldChar w:fldCharType="end"/>
            </w:r>
          </w:hyperlink>
        </w:p>
        <w:p w:rsidR="004D0E67" w:rsidRDefault="004D0E6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5" w:history="1">
            <w:r w:rsidRPr="007B5765">
              <w:rPr>
                <w:rStyle w:val="Hipercze"/>
                <w:noProof/>
              </w:rPr>
              <w:t>4.3.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Pr="007B5765">
              <w:rPr>
                <w:rStyle w:val="Hipercze"/>
                <w:noProof/>
              </w:rPr>
              <w:t>Rozbudowa oprogramowania antywirusowego o funkcje XDR, szyfrowania danych, zarządzanie podatnościami.</w:t>
            </w:r>
            <w:r>
              <w:rPr>
                <w:noProof/>
                <w:webHidden/>
              </w:rPr>
              <w:tab/>
            </w:r>
            <w:r w:rsidR="001D455F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_Toc210373445 \h </w:instrText>
            </w:r>
            <w:r w:rsidR="001D455F">
              <w:rPr>
                <w:noProof/>
                <w:webHidden/>
              </w:rPr>
            </w:r>
            <w:r w:rsidR="001D455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1D455F">
              <w:rPr>
                <w:noProof/>
                <w:webHidden/>
              </w:rPr>
              <w:fldChar w:fldCharType="end"/>
            </w:r>
          </w:hyperlink>
        </w:p>
        <w:p w:rsidR="00EF3894" w:rsidRDefault="001D455F" w:rsidP="008B0DAF">
          <w:pPr>
            <w:pStyle w:val="Spistreci1"/>
            <w:tabs>
              <w:tab w:val="left" w:pos="720"/>
            </w:tabs>
            <w:spacing w:before="100" w:beforeAutospacing="1" w:after="120" w:line="276" w:lineRule="auto"/>
          </w:pPr>
          <w:r>
            <w:rPr>
              <w:b/>
              <w:bCs/>
            </w:rPr>
            <w:fldChar w:fldCharType="end"/>
          </w:r>
        </w:p>
      </w:sdtContent>
    </w:sdt>
    <w:p w:rsidR="00EF3894" w:rsidRDefault="00EF3894" w:rsidP="008B0DAF">
      <w:pPr>
        <w:spacing w:before="100" w:beforeAutospacing="1" w:after="120" w:line="276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A46045" w:rsidRDefault="00A922E9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1" w:name="_Toc210373434"/>
      <w:r>
        <w:lastRenderedPageBreak/>
        <w:t>Zestawienie ilościowe.</w:t>
      </w:r>
      <w:bookmarkEnd w:id="1"/>
    </w:p>
    <w:p w:rsidR="0056145F" w:rsidRDefault="0056145F" w:rsidP="008B0DAF">
      <w:pPr>
        <w:spacing w:before="100" w:beforeAutospacing="1" w:after="120" w:line="276" w:lineRule="auto"/>
        <w:jc w:val="both"/>
        <w:rPr>
          <w:rFonts w:cstheme="minorHAnsi"/>
        </w:rPr>
      </w:pPr>
      <w:r>
        <w:t xml:space="preserve">Część nr </w:t>
      </w:r>
      <w:r w:rsidR="00C83254">
        <w:t>1</w:t>
      </w:r>
      <w:r>
        <w:t xml:space="preserve"> – </w:t>
      </w:r>
      <w:r>
        <w:rPr>
          <w:rFonts w:cstheme="minorHAnsi"/>
        </w:rPr>
        <w:t>Dostawa sprzętu i oprogramowania informatycznego.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6304"/>
        <w:gridCol w:w="2263"/>
      </w:tblGrid>
      <w:tr w:rsidR="0056145F" w:rsidTr="003C5497">
        <w:trPr>
          <w:trHeight w:val="504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Lp.</w:t>
            </w:r>
          </w:p>
        </w:tc>
        <w:tc>
          <w:tcPr>
            <w:tcW w:w="6304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Nazwa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Ilość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1.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serwera</w:t>
            </w:r>
          </w:p>
        </w:tc>
        <w:tc>
          <w:tcPr>
            <w:tcW w:w="2263" w:type="dxa"/>
            <w:vAlign w:val="center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bookmarkStart w:id="2" w:name="_Hlk210371595"/>
            <w:r>
              <w:t>2.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macierzy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3.</w:t>
            </w:r>
          </w:p>
        </w:tc>
        <w:tc>
          <w:tcPr>
            <w:tcW w:w="6304" w:type="dxa"/>
          </w:tcPr>
          <w:p w:rsidR="00062C37" w:rsidRPr="0076747E" w:rsidRDefault="00062C37" w:rsidP="00062C37">
            <w:pPr>
              <w:spacing w:before="100" w:beforeAutospacing="1" w:after="120" w:line="276" w:lineRule="auto"/>
            </w:pPr>
            <w:r w:rsidRPr="002D57F5">
              <w:t>Zakup UPS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4.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UTM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</w:tbl>
    <w:bookmarkEnd w:id="2"/>
    <w:p w:rsidR="000F2E73" w:rsidRDefault="000F2E73" w:rsidP="000F2E73">
      <w:pPr>
        <w:spacing w:before="100" w:beforeAutospacing="1" w:after="120" w:line="276" w:lineRule="auto"/>
        <w:jc w:val="both"/>
        <w:rPr>
          <w:rFonts w:cstheme="minorHAnsi"/>
        </w:rPr>
      </w:pPr>
      <w:r>
        <w:t xml:space="preserve">Część nr 2 – </w:t>
      </w:r>
      <w:r>
        <w:rPr>
          <w:rFonts w:cstheme="minorHAnsi"/>
        </w:rPr>
        <w:t xml:space="preserve">Dostawa oprogramowania </w:t>
      </w:r>
      <w:r w:rsidR="00FB6386">
        <w:rPr>
          <w:rFonts w:cstheme="minorHAnsi"/>
        </w:rPr>
        <w:t>informatycznego.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6319"/>
        <w:gridCol w:w="2263"/>
      </w:tblGrid>
      <w:tr w:rsidR="000F2E73" w:rsidTr="003C5497">
        <w:trPr>
          <w:trHeight w:val="504"/>
        </w:trPr>
        <w:tc>
          <w:tcPr>
            <w:tcW w:w="480" w:type="dxa"/>
            <w:shd w:val="clear" w:color="auto" w:fill="D9D9D9" w:themeFill="background1" w:themeFillShade="D9"/>
            <w:vAlign w:val="center"/>
          </w:tcPr>
          <w:p w:rsidR="000F2E73" w:rsidRDefault="000F2E73" w:rsidP="003C5497">
            <w:pPr>
              <w:spacing w:before="100" w:beforeAutospacing="1" w:after="120" w:line="276" w:lineRule="auto"/>
              <w:jc w:val="center"/>
            </w:pPr>
            <w:r>
              <w:t>Lp.</w:t>
            </w:r>
          </w:p>
        </w:tc>
        <w:tc>
          <w:tcPr>
            <w:tcW w:w="6319" w:type="dxa"/>
            <w:shd w:val="clear" w:color="auto" w:fill="D9D9D9" w:themeFill="background1" w:themeFillShade="D9"/>
            <w:vAlign w:val="center"/>
          </w:tcPr>
          <w:p w:rsidR="000F2E73" w:rsidRDefault="000F2E73" w:rsidP="003C5497">
            <w:pPr>
              <w:spacing w:before="100" w:beforeAutospacing="1" w:after="120" w:line="276" w:lineRule="auto"/>
              <w:jc w:val="center"/>
            </w:pPr>
            <w:r>
              <w:t>Nazwa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0F2E73" w:rsidRDefault="000F2E73" w:rsidP="003C5497">
            <w:pPr>
              <w:spacing w:before="100" w:beforeAutospacing="1" w:after="120" w:line="276" w:lineRule="auto"/>
              <w:jc w:val="center"/>
            </w:pPr>
            <w:r>
              <w:t>Ilość</w:t>
            </w:r>
          </w:p>
        </w:tc>
      </w:tr>
      <w:tr w:rsidR="00F738F5" w:rsidTr="003C5497">
        <w:tc>
          <w:tcPr>
            <w:tcW w:w="480" w:type="dxa"/>
          </w:tcPr>
          <w:p w:rsidR="00F738F5" w:rsidRDefault="00F738F5" w:rsidP="00F738F5">
            <w:pPr>
              <w:spacing w:before="100" w:beforeAutospacing="1" w:after="120" w:line="276" w:lineRule="auto"/>
            </w:pPr>
            <w:r>
              <w:t>1.</w:t>
            </w:r>
          </w:p>
        </w:tc>
        <w:tc>
          <w:tcPr>
            <w:tcW w:w="6319" w:type="dxa"/>
            <w:vAlign w:val="center"/>
          </w:tcPr>
          <w:p w:rsidR="00F738F5" w:rsidRDefault="00F738F5" w:rsidP="00F738F5">
            <w:pPr>
              <w:spacing w:before="100" w:beforeAutospacing="1" w:after="120" w:line="276" w:lineRule="auto"/>
            </w:pPr>
            <w:r w:rsidRPr="00F738F5">
              <w:t>Zakup oprogramowania do agregacji logów</w:t>
            </w:r>
          </w:p>
        </w:tc>
        <w:tc>
          <w:tcPr>
            <w:tcW w:w="2263" w:type="dxa"/>
            <w:vAlign w:val="center"/>
          </w:tcPr>
          <w:p w:rsidR="00F738F5" w:rsidRDefault="00F738F5" w:rsidP="00F738F5">
            <w:pPr>
              <w:spacing w:before="100" w:beforeAutospacing="1" w:after="120" w:line="276" w:lineRule="auto"/>
              <w:jc w:val="center"/>
            </w:pPr>
            <w:r>
              <w:t>1 szt.</w:t>
            </w:r>
          </w:p>
        </w:tc>
      </w:tr>
      <w:tr w:rsidR="00F738F5" w:rsidTr="003C5497">
        <w:tc>
          <w:tcPr>
            <w:tcW w:w="480" w:type="dxa"/>
          </w:tcPr>
          <w:p w:rsidR="00F738F5" w:rsidRDefault="001F7A26" w:rsidP="00F738F5">
            <w:pPr>
              <w:spacing w:before="100" w:beforeAutospacing="1" w:after="120" w:line="276" w:lineRule="auto"/>
            </w:pPr>
            <w:r>
              <w:t>2</w:t>
            </w:r>
            <w:r w:rsidR="00F738F5">
              <w:t>.</w:t>
            </w:r>
          </w:p>
        </w:tc>
        <w:tc>
          <w:tcPr>
            <w:tcW w:w="6319" w:type="dxa"/>
            <w:vAlign w:val="center"/>
          </w:tcPr>
          <w:p w:rsidR="00F738F5" w:rsidRDefault="00062C37" w:rsidP="00F738F5">
            <w:pPr>
              <w:spacing w:before="100" w:beforeAutospacing="1" w:after="120" w:line="276" w:lineRule="auto"/>
            </w:pPr>
            <w:r w:rsidRPr="00062C37">
              <w:t>Rozbudowa oprogramowania antywirusowego o funkcje XDR, szyfrowania danych, zarządzanie podatnościami</w:t>
            </w:r>
          </w:p>
        </w:tc>
        <w:tc>
          <w:tcPr>
            <w:tcW w:w="2263" w:type="dxa"/>
          </w:tcPr>
          <w:p w:rsidR="00F738F5" w:rsidRDefault="00F738F5" w:rsidP="00F738F5">
            <w:pPr>
              <w:spacing w:before="100" w:beforeAutospacing="1" w:after="120" w:line="276" w:lineRule="auto"/>
              <w:jc w:val="center"/>
            </w:pPr>
            <w:r w:rsidRPr="00DF66FB">
              <w:t>1 szt.</w:t>
            </w:r>
          </w:p>
        </w:tc>
      </w:tr>
    </w:tbl>
    <w:p w:rsidR="000F2E73" w:rsidRDefault="000F2E73" w:rsidP="008B0DAF">
      <w:pPr>
        <w:spacing w:before="100" w:beforeAutospacing="1" w:after="120" w:line="276" w:lineRule="auto"/>
        <w:jc w:val="both"/>
      </w:pPr>
    </w:p>
    <w:p w:rsidR="003A7C6B" w:rsidRDefault="003A7C6B" w:rsidP="008B0DAF">
      <w:pPr>
        <w:spacing w:line="276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3" w:name="_Toc95157232"/>
      <w:r>
        <w:br w:type="page"/>
      </w:r>
    </w:p>
    <w:p w:rsidR="003A7C6B" w:rsidRDefault="003A7C6B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4" w:name="_Toc210373435"/>
      <w:r>
        <w:lastRenderedPageBreak/>
        <w:t>Zasada równoważności rozwiązań i neutralności technologicznej.</w:t>
      </w:r>
      <w:bookmarkEnd w:id="3"/>
      <w:bookmarkEnd w:id="4"/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Użycie w opisie przedmiotu zamówienia nazw rozwiązań</w:t>
      </w:r>
      <w:r>
        <w:t xml:space="preserve"> </w:t>
      </w:r>
      <w:r w:rsidRPr="00E205C9">
        <w:t>służy ustaleniu minimalnego standardu wykonania i określenia właściwości i wymogów technicznych założonych w dokumentacji technicznej dla projektowanych rozwiązań</w:t>
      </w:r>
      <w:r>
        <w:t xml:space="preserve"> lub też stosowane jest w celu wskazania aktualnie użytkowanego środowiska Zamawiającego, z którym rozwiązanie równoważne powinno być kompatybilne.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Wykonawca zobligowany jest do wykazania, że oferowane rozwiązania równoważne spełnią zakładane wymagania minimalne. </w:t>
      </w:r>
      <w:r>
        <w:t>Wykonawca, który złoży ofertę na produkty równoważne musi do oferty załączyć dokumenty zawierające dokładny opis oferowanych produktów, z którego wynikać będzie zachowanie warunków równoważności. Wykonawca, który posługuje się równoważnymi certyfikatami musi je załączyć do oferty. Przez certyfikat równoważny Zamawiający rozumie certyfikat analogiczny co do zakresu z certyfikatami wskazanymi z nazwy, który potwierdza spełnianie normy charakteryzującej się cechami właściwymi dla normy wymienionej przez Zamawiającego, wystawiony przez niezależny podmiot uprawniony do wystawiania certyfikatów.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Brak określenia „minimum” oznacza wymaganie na poziomie minimalnym, a Wykonawca może zaoferować rozwiązanie o lepszych parametrach.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Przez bardzo zbliżoną (podobną) wartość użytkową rozumie się podobne, z dopuszczeniem nieznacznych różnic nie wpływających w żadnym stopniu na całokształt systemu, zachowanie oraz realizowanie podobnych funkcjonalności w danych warunkach, dla których to warunków rozwiązania te są dedykowane. Rozwiązanie równoważne musi zawierać dokumentację potwierdzającą, że spełnia wymagania funkcjonalne Zamawiającego, w tym wyniki porównań, testów czy możliwości oferowanych przez to rozwiązanie w odniesieniu do rozwiązania wyspecyfikowanego.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>
        <w:lastRenderedPageBreak/>
        <w:t xml:space="preserve">W przypadku wskazania przez Zamawiającego określonych testów wydajności Zamawiający </w:t>
      </w:r>
      <w:r w:rsidRPr="00CD5681">
        <w:rPr>
          <w:rFonts w:cstheme="minorHAnsi"/>
          <w:lang w:eastAsia="pl-PL"/>
        </w:rPr>
        <w:t xml:space="preserve">zastrzega, iż w celu sprawdzenia </w:t>
      </w:r>
      <w:r>
        <w:rPr>
          <w:rFonts w:cstheme="minorHAnsi"/>
          <w:lang w:eastAsia="pl-PL"/>
        </w:rPr>
        <w:t>poprawności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 xml:space="preserve">może wezwać Wykonawcę do przedstawienia wskazanego przez Zamawiającego oprogramowania </w:t>
      </w:r>
      <w:r w:rsidRPr="00CD5681">
        <w:rPr>
          <w:rFonts w:cstheme="minorHAnsi"/>
          <w:lang w:eastAsia="pl-PL"/>
        </w:rPr>
        <w:t>testujące</w:t>
      </w:r>
      <w:r>
        <w:rPr>
          <w:rFonts w:cstheme="minorHAnsi"/>
          <w:lang w:eastAsia="pl-PL"/>
        </w:rPr>
        <w:t>go wraz z 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konfiguratora oprogramowania testującego i natywnej rozdzielczości wyświetlacza oraz włączonych wszystkich urządzaniach.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>
        <w:t xml:space="preserve">W przypadku wskazania przez Zamawiającego określonych testów wydajności Zamawiający dopuszcza równoważne im testy wydajnościowe umożliwiające potwierdzenie zakładanych poziomów wydajności. </w:t>
      </w:r>
      <w:r w:rsidRPr="00CD5681">
        <w:rPr>
          <w:rFonts w:cstheme="minorHAnsi"/>
          <w:lang w:eastAsia="pl-PL"/>
        </w:rPr>
        <w:t xml:space="preserve">W przypadku użycia przez </w:t>
      </w:r>
      <w:r>
        <w:rPr>
          <w:rFonts w:cstheme="minorHAnsi"/>
          <w:lang w:eastAsia="pl-PL"/>
        </w:rPr>
        <w:t>Wykonawcę równoważnych</w:t>
      </w:r>
      <w:r w:rsidRPr="00CD5681">
        <w:rPr>
          <w:rFonts w:cstheme="minorHAnsi"/>
          <w:lang w:eastAsia="pl-PL"/>
        </w:rPr>
        <w:t xml:space="preserve"> testów wydajności Zamawiający zastrzega, iż w celu sprawdzenia </w:t>
      </w:r>
      <w:r>
        <w:rPr>
          <w:rFonts w:cstheme="minorHAnsi"/>
          <w:lang w:eastAsia="pl-PL"/>
        </w:rPr>
        <w:t>równoważności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>Wykonawca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może zostać wezwany do</w:t>
      </w:r>
      <w:r w:rsidRPr="00CD5681">
        <w:rPr>
          <w:rFonts w:cstheme="minorHAnsi"/>
          <w:lang w:eastAsia="pl-PL"/>
        </w:rPr>
        <w:t xml:space="preserve"> dostarcz</w:t>
      </w:r>
      <w:r>
        <w:rPr>
          <w:rFonts w:cstheme="minorHAnsi"/>
          <w:lang w:eastAsia="pl-PL"/>
        </w:rPr>
        <w:t>enia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Z</w:t>
      </w:r>
      <w:r w:rsidRPr="00CD5681">
        <w:rPr>
          <w:rFonts w:cstheme="minorHAnsi"/>
          <w:lang w:eastAsia="pl-PL"/>
        </w:rPr>
        <w:t xml:space="preserve">amawiającemu </w:t>
      </w:r>
      <w:r>
        <w:rPr>
          <w:rFonts w:cstheme="minorHAnsi"/>
          <w:lang w:eastAsia="pl-PL"/>
        </w:rPr>
        <w:t xml:space="preserve">wskazanego przez Zamawiającego oprogramowania testującego i równoważnego do niego </w:t>
      </w:r>
      <w:r w:rsidRPr="00CD5681">
        <w:rPr>
          <w:rFonts w:cstheme="minorHAnsi"/>
          <w:lang w:eastAsia="pl-PL"/>
        </w:rPr>
        <w:t>oprogramowani</w:t>
      </w:r>
      <w:r>
        <w:rPr>
          <w:rFonts w:cstheme="minorHAnsi"/>
          <w:lang w:eastAsia="pl-PL"/>
        </w:rPr>
        <w:t>a</w:t>
      </w:r>
      <w:r w:rsidRPr="00CD5681">
        <w:rPr>
          <w:rFonts w:cstheme="minorHAnsi"/>
          <w:lang w:eastAsia="pl-PL"/>
        </w:rPr>
        <w:t xml:space="preserve"> testujące</w:t>
      </w:r>
      <w:r>
        <w:rPr>
          <w:rFonts w:cstheme="minorHAnsi"/>
          <w:lang w:eastAsia="pl-PL"/>
        </w:rPr>
        <w:t>go wraz z 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konfiguratora oprogramowania testującego i natywnej rozdzielczości wyświetlacza oraz włączonych wszystkich urządzaniach.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</w:t>
      </w:r>
      <w:r w:rsidRPr="00E205C9">
        <w:lastRenderedPageBreak/>
        <w:t>o wskazanych lub lepszych parametrach. Zamawiający opisując przedmiot zamówienia przy pomocy określonych norm, aprobat czy specyfikacji technicznych i systemów odniesienia dopuszcza rozwiązania równoważne opisywanym. Wykonawca, który powołuje się na rozwiązania równoważne opisywanym przez Zamawiającego, jest obowiązany wykazać, że oferowane przez niego dostawy spełniają wymagania określone przez Zamawiającego. W takiej sytuacji Zamawiający wymaga złożenia stosownych dokumentów uwiarygodniających te rozwiązania.</w:t>
      </w:r>
    </w:p>
    <w:p w:rsidR="007434EC" w:rsidRDefault="007434EC" w:rsidP="008B0DAF">
      <w:pPr>
        <w:spacing w:before="100" w:beforeAutospacing="1" w:after="120" w:line="276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3E28EE" w:rsidRDefault="003E28EE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5" w:name="_Toc210373436"/>
      <w:r>
        <w:lastRenderedPageBreak/>
        <w:t xml:space="preserve">Przedmiot zamówienia dla części nr </w:t>
      </w:r>
      <w:r w:rsidR="00BE6847">
        <w:t>1</w:t>
      </w:r>
      <w:r>
        <w:t>.</w:t>
      </w:r>
      <w:bookmarkEnd w:id="5"/>
    </w:p>
    <w:p w:rsidR="003E28EE" w:rsidRDefault="003E28EE" w:rsidP="008B0DAF">
      <w:pPr>
        <w:pStyle w:val="Nagwek1"/>
        <w:numPr>
          <w:ilvl w:val="1"/>
          <w:numId w:val="1"/>
        </w:numPr>
        <w:spacing w:after="240" w:line="276" w:lineRule="auto"/>
      </w:pPr>
      <w:bookmarkStart w:id="6" w:name="_Toc210373437"/>
      <w:r>
        <w:t>Wymagania ogólne.</w:t>
      </w:r>
      <w:bookmarkEnd w:id="6"/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Dostarczony sprzęt i oprogramowanie muszą być wolne od wad prawnych i fizycznych oraz nienoszący oznak użytkowania. 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Dostarczony sprzęt i oprogramowanie muszą być fabrycznie nowe (tzn. wyprodukowane nie wcześniej, niż na 9 miesięcy przed ich dostarczeniem), muszą pochodzić z oficjalnego kanału sprzedaży producenta na rynek polski, pochodzić z seryjnej produkcji z uwzględnieniem opcji konfiguracyjnych przewidzianych przez producenta dla oferowanego modelu sprzętu i</w:t>
      </w:r>
      <w:r w:rsidR="00BE6847">
        <w:t> </w:t>
      </w:r>
      <w:r>
        <w:t xml:space="preserve">oprogramowania. </w:t>
      </w:r>
    </w:p>
    <w:p w:rsidR="00BE6847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Niedopuszczalne są produkty prototypowe, nie dopuszcza się urządzeń długotrwale magazynowanych oraz pochodzących z programów wyprzedażowych producenta. Urządzenia nie mogą znajdować się na liście „end-of-sale”, „end-of-support”, „end-of-life” producenta</w:t>
      </w:r>
      <w:r w:rsidR="00BE6847">
        <w:t xml:space="preserve"> lub innych listach prowadzonych przez producentów produktów świadczących o tym, że produkt został wycofany ze sprzedaży, wsparcie dla niego zostało zakończone lub producent </w:t>
      </w:r>
      <w:r w:rsidR="00BE6847" w:rsidRPr="007B67E9">
        <w:t xml:space="preserve">zaprzestaje wydawania aktualizacji, poprawek bezpieczeństwa czy też napraw dla </w:t>
      </w:r>
      <w:r w:rsidR="00BE6847">
        <w:t>produktu.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Wymagana ilość i rozmieszczenie (na zewnątrz obudowy) jakichkolwiek portów nie może być osiągnięta w wyniku stosowania konwerterów, przejściówek, itp., niedopuszczalne jest zastosowanie jakichkolwiek zewnętrznych przejściówek czy konwerterów. </w:t>
      </w:r>
      <w:r w:rsidR="00C5509A">
        <w:t>Niedopuszczalna jest realizacja tylko części funkcji bądź wymaganych standardów zamiast innych określonych jako minimalne w niniejszym dokumencie. Wszystkie wymagania minimalne muszą zostać zapewnione przez dostarczane produkty bez konieczności zakupu żadnych dodatkowych elementów przez Zamawiającego, chyba że z niniejszego dokumentu wynika inaczej.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Wszystkie urządzenia będą zasilane bezpośrednio z sieci 230V. </w:t>
      </w:r>
    </w:p>
    <w:p w:rsidR="00F738F5" w:rsidRPr="00021EA3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021EA3">
        <w:t xml:space="preserve">Wykonawca zapewni dostawę do wskazanej lokalizacji </w:t>
      </w:r>
      <w:r w:rsidR="003F085A" w:rsidRPr="00021EA3">
        <w:t>przez</w:t>
      </w:r>
      <w:r w:rsidRPr="00021EA3">
        <w:t xml:space="preserve"> Zamawiającego</w:t>
      </w:r>
      <w:r w:rsidR="003952DB">
        <w:t>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jest odpowiedzialny za skonfigurowanie połączeń fizycznych, logicznych, podłączenie i skonfigurowanie urządzeń do działania, pozwalające na rozpoczęcie pracy oraz dostarczenie odpowiedniej ilości kabli zasilających, połączeniowych w celu przygotowania zamawianego sprzętu do działania.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zobowiązany jest do skonfigurowania zamawianego sprzętu w uzgodnieniu z Zamawiającym.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Prace instalacyjne będzie można realizować wyłącznie w terminach uzgodnionych z Zamawiającym. 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będzie zobowiązany do złożenia dokumentacji powykonawczej, zawierającej w szczególności wszystkie dane dostępu do urządzeń i oprogramowania, które będą wykorzystywane podczas instalacji i konfiguracji sprzętu i oprogramowania.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Dla dostaw sprzętu informatycznego z </w:t>
      </w:r>
      <w:r w:rsidR="00D562A8">
        <w:t>oprogramowaniem</w:t>
      </w:r>
      <w:r>
        <w:t xml:space="preserve"> </w:t>
      </w:r>
      <w:r w:rsidRPr="009C3FC4">
        <w:t xml:space="preserve">Zamawiający wymaga fabrycznie nowego </w:t>
      </w:r>
      <w:r w:rsidR="00D562A8">
        <w:t>oprogramowania</w:t>
      </w:r>
      <w:r w:rsidRPr="009C3FC4">
        <w:t xml:space="preserve"> (nieużywanego nigdy wcześniej), w wersji z certyfikatem autentyczności dla każdej licencji</w:t>
      </w:r>
      <w:r>
        <w:t xml:space="preserve">, o ile producent oferowanego oprogramowania stosuje certyfikaty autentyczności. Wykonawca zobowiązany jest do dostarczenia fabrycznie nowego </w:t>
      </w:r>
      <w:r w:rsidR="00D562A8">
        <w:t>oprogramowania (w tym systemu operacyjnego)</w:t>
      </w:r>
      <w:r>
        <w:t xml:space="preserve"> nieużywanego oraz nigdy wcześniej nieaktywowanego na innym urządzeniu oraz pochodzącego z legalnego źródła sprzedaży. W przypadku </w:t>
      </w:r>
      <w:r w:rsidR="00D562A8">
        <w:t>oprogramowania</w:t>
      </w:r>
      <w:r>
        <w:t xml:space="preserve"> naklejka hologramowa winna być zabezpieczona przed możliwością odczytania klucza za pomocą zabezpieczeń stosowanych przez producenta, o ile producent </w:t>
      </w:r>
      <w:r>
        <w:lastRenderedPageBreak/>
        <w:t>oferowanego oprogramowania stosuje takie zabezpieczenia. Zamawiający zastrzega możliwość weryfikacji dostarczonego oprogramowania na etapie oceny ofert jak i na etapie dostawy pod kątem legalności oprogramowania bezpośrednio u producenta oprogramowania. Zamawiający zastrzega możliwość żądania od Wykonawcy na etapie dostawy przedstawienia dokumentów dotyczących zakupu oprogramowania (faktury, rachunki) w autoryzowanym kanale dystrybucyjnym producenta oprogramowania.</w:t>
      </w:r>
    </w:p>
    <w:p w:rsidR="0044138D" w:rsidRPr="008A49AD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8A49AD">
        <w:t>Proces współpracy</w:t>
      </w:r>
      <w:r>
        <w:t xml:space="preserve"> między Wykonawcą a Zamawiającym w celu wdrożenia sprzętu i oprogramowania – wymagania minimalne:</w:t>
      </w:r>
    </w:p>
    <w:p w:rsidR="0044138D" w:rsidRPr="004D3D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Wykonawca przygotuje projekt techniczny realizacji koncepcji, uwzględniający dobre praktyki i rekomendacje eksploatacyjne publikowane przez producentów wdrażanego</w:t>
      </w:r>
      <w:r>
        <w:rPr>
          <w:color w:val="000000" w:themeColor="text1"/>
        </w:rPr>
        <w:t xml:space="preserve"> sprzętu i </w:t>
      </w:r>
      <w:r w:rsidRPr="004D3D8D">
        <w:rPr>
          <w:color w:val="000000" w:themeColor="text1"/>
        </w:rPr>
        <w:t>oprogramowania</w:t>
      </w:r>
      <w:r w:rsidR="003F085A">
        <w:rPr>
          <w:color w:val="000000" w:themeColor="text1"/>
        </w:rPr>
        <w:t xml:space="preserve"> </w:t>
      </w:r>
      <w:r w:rsidRPr="004D3D8D">
        <w:rPr>
          <w:color w:val="000000" w:themeColor="text1"/>
        </w:rPr>
        <w:t>po wykonaniu analizy istniejącego u Zamawiającego rozwiązania wraz z koncepcją uwzględniające obecne u Zamawiającego uwarunkowania organizacyjne i sprzętowe, łącznie zwane dalej projektem technicznym. W projekcie technicznym muszą być zawarte: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Pr="00A4250B">
        <w:rPr>
          <w:color w:val="000000" w:themeColor="text1"/>
        </w:rPr>
        <w:t>cenariusze testowe, procedury oraz wzory raportów testów,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szczegółowy harmonogram realizacji prac </w:t>
      </w:r>
      <w:r>
        <w:rPr>
          <w:color w:val="000000" w:themeColor="text1"/>
        </w:rPr>
        <w:t xml:space="preserve">wdrożeniowych i </w:t>
      </w:r>
      <w:r w:rsidRPr="00A4250B">
        <w:rPr>
          <w:color w:val="000000" w:themeColor="text1"/>
        </w:rPr>
        <w:t>migracyjnych, uwzględniający specyfikę organizacji Zamawiającego,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opis koncepcji </w:t>
      </w:r>
      <w:r w:rsidRPr="00A4250B">
        <w:rPr>
          <w:color w:val="000000" w:themeColor="text1"/>
        </w:rPr>
        <w:t xml:space="preserve">realizacji </w:t>
      </w:r>
      <w:r>
        <w:rPr>
          <w:color w:val="000000" w:themeColor="text1"/>
        </w:rPr>
        <w:t>prac,</w:t>
      </w:r>
    </w:p>
    <w:p w:rsidR="0044138D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>zalecenia przedwdrożeniowe dla Zamawiającego, jeżeli będą wymagane.</w:t>
      </w:r>
    </w:p>
    <w:p w:rsidR="0044138D" w:rsidRPr="004D3D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Akceptacja projektu technicznego wraz z procedurami oraz wzorami raportów z testów będzie podlegała następującej procedurze: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Wykonawca przekaże do akceptacji Zamawiającego, drogą elektroniczną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z procedurami oraz wzorami raportów z testów,</w:t>
      </w:r>
      <w:r w:rsidRPr="00A4250B" w:rsidDel="00061FE5">
        <w:rPr>
          <w:color w:val="000000" w:themeColor="text1"/>
        </w:rPr>
        <w:t xml:space="preserve"> </w:t>
      </w:r>
      <w:r w:rsidRPr="00A4250B">
        <w:rPr>
          <w:color w:val="000000" w:themeColor="text1"/>
        </w:rPr>
        <w:t xml:space="preserve">w terminie nie dłuższym niż </w:t>
      </w:r>
      <w:r w:rsidR="004C433B">
        <w:rPr>
          <w:color w:val="000000" w:themeColor="text1"/>
        </w:rPr>
        <w:t>10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kalendarzowych </w:t>
      </w:r>
      <w:r w:rsidRPr="00A4250B">
        <w:rPr>
          <w:color w:val="000000" w:themeColor="text1"/>
        </w:rPr>
        <w:t>od dnia zawarcia umowy,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nie dłuższym niż </w:t>
      </w:r>
      <w:r w:rsidR="00A4081D"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dostarczenia przez Wykonawcę kompletnych dokumentów, poinformuje Wykonawcę o ich akceptacji lub konieczności wprowadzenia zmian,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wszystkie uwagi do dokumentów zgłoszone przez Zamawiającego zostaną wprowadzone przez Wykonawcę, w terminie nie dłuższym niż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ich otrzymania,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powtórnego dostarczenia przez Wykonawcę poprawionych dokumentów, poinformuje Wykonawcę o ich akceptacji lub konieczności wprowadzenia zmian,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 przypadku nieuwzględnienia uwag Zamawiającego, Zamawiający zastrzega sobie prawo do wskazania ostatecznego terminu dostarczenia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rojektu technicznego wraz z procedurami oraz wzorami raportów z testów</w:t>
      </w:r>
      <w:r>
        <w:rPr>
          <w:color w:val="000000" w:themeColor="text1"/>
        </w:rPr>
        <w:t>,</w:t>
      </w:r>
    </w:p>
    <w:p w:rsidR="0044138D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zatwierdzony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procedurami zostaną przekazane Zamawiającemu w 1 egzemplarzu oraz w formie elektronicznej na pendrive, w postaci plików do edycji i PDF.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Wykonawca zrealizuje wdrożenia i migracje zgodnie z zakresem prac i projektem technicznym.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>przeprowadzi testy akceptacyjne wdrożon</w:t>
      </w:r>
      <w:r>
        <w:rPr>
          <w:color w:val="000000" w:themeColor="text1"/>
        </w:rPr>
        <w:t>ych</w:t>
      </w:r>
      <w:r w:rsidRPr="00A32A99">
        <w:rPr>
          <w:color w:val="000000" w:themeColor="text1"/>
        </w:rPr>
        <w:t xml:space="preserve"> rozwiąza</w:t>
      </w:r>
      <w:r>
        <w:rPr>
          <w:color w:val="000000" w:themeColor="text1"/>
        </w:rPr>
        <w:t>ń</w:t>
      </w:r>
      <w:r w:rsidRPr="00A32A99">
        <w:rPr>
          <w:color w:val="000000" w:themeColor="text1"/>
        </w:rPr>
        <w:t>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32A99">
        <w:rPr>
          <w:color w:val="000000" w:themeColor="text1"/>
        </w:rPr>
        <w:t xml:space="preserve">Wykonawca opracuje i przedstawi raport z testów. W przypadku zrealizowania scenariusza testowego z wynikiem negatywnym, Wykonawca przedstawi nowe rozwiązanie wadliwego elementu systemu i przeprowadzi ponowny test wg scenariusza, w terminie wyznaczonym </w:t>
      </w:r>
      <w:r w:rsidRPr="00A32A99">
        <w:rPr>
          <w:color w:val="000000" w:themeColor="text1"/>
        </w:rPr>
        <w:lastRenderedPageBreak/>
        <w:t xml:space="preserve">przez Zamawiającego, dochowując terminu wykonania Umowy. Raport z testów </w:t>
      </w:r>
      <w:r>
        <w:rPr>
          <w:color w:val="000000" w:themeColor="text1"/>
        </w:rPr>
        <w:t xml:space="preserve">powinien </w:t>
      </w:r>
      <w:r w:rsidRPr="00A32A99">
        <w:rPr>
          <w:color w:val="000000" w:themeColor="text1"/>
        </w:rPr>
        <w:t>zawierać listę przeprowadzonych testów wraz z ich wynikiem</w:t>
      </w:r>
      <w:r>
        <w:rPr>
          <w:color w:val="000000" w:themeColor="text1"/>
        </w:rPr>
        <w:t>.</w:t>
      </w:r>
    </w:p>
    <w:p w:rsidR="004413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 xml:space="preserve">opracuje </w:t>
      </w:r>
      <w:r>
        <w:rPr>
          <w:color w:val="000000" w:themeColor="text1"/>
        </w:rPr>
        <w:t>d</w:t>
      </w:r>
      <w:r w:rsidRPr="00A32A99">
        <w:rPr>
          <w:color w:val="000000" w:themeColor="text1"/>
        </w:rPr>
        <w:t>okumentację powykonawczą oraz procedury administracyjne i</w:t>
      </w:r>
      <w:r>
        <w:rPr>
          <w:color w:val="000000" w:themeColor="text1"/>
        </w:rPr>
        <w:t> </w:t>
      </w:r>
      <w:r w:rsidRPr="00A32A99">
        <w:rPr>
          <w:color w:val="000000" w:themeColor="text1"/>
        </w:rPr>
        <w:t>eksploatacyjne w zakresie uzgodnionym z Zamawiającym, w tym:</w:t>
      </w:r>
      <w:r>
        <w:rPr>
          <w:color w:val="000000" w:themeColor="text1"/>
        </w:rPr>
        <w:t xml:space="preserve"> d</w:t>
      </w:r>
      <w:r w:rsidRPr="00A32A99">
        <w:rPr>
          <w:color w:val="000000" w:themeColor="text1"/>
        </w:rPr>
        <w:t>okumentację wdrożeniową,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 xml:space="preserve">rocedury </w:t>
      </w:r>
      <w:r>
        <w:rPr>
          <w:color w:val="000000" w:themeColor="text1"/>
        </w:rPr>
        <w:t>o</w:t>
      </w:r>
      <w:r w:rsidRPr="00A32A99">
        <w:rPr>
          <w:color w:val="000000" w:themeColor="text1"/>
        </w:rPr>
        <w:t>peracyjne,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>rocedury „Disaster Recovery”</w:t>
      </w:r>
      <w:r>
        <w:rPr>
          <w:color w:val="000000" w:themeColor="text1"/>
        </w:rPr>
        <w:t>. Akceptacja dokumentacji powykonawczej będzie przebiegała zgodnie z zasadami określonymi dla akceptacji projektu technicznego.</w:t>
      </w:r>
    </w:p>
    <w:p w:rsidR="0044138D" w:rsidRPr="00075331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075331">
        <w:t>Instruktaże</w:t>
      </w:r>
      <w:r>
        <w:t xml:space="preserve"> w zakresie dostarczonego</w:t>
      </w:r>
      <w:r w:rsidR="00A4081D">
        <w:t xml:space="preserve"> sprzętu i</w:t>
      </w:r>
      <w:r>
        <w:t xml:space="preserve"> oprogramowania – wymagania minimalne</w:t>
      </w:r>
      <w:r w:rsidRPr="00075331">
        <w:t>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Instruktaże stanowiskowe będą prowadzone w języku polskim </w:t>
      </w:r>
      <w:r>
        <w:rPr>
          <w:color w:val="000000" w:themeColor="text1"/>
        </w:rPr>
        <w:t xml:space="preserve">w siedzibie Zamawiającego </w:t>
      </w:r>
      <w:r w:rsidRPr="009B43B9">
        <w:rPr>
          <w:color w:val="000000" w:themeColor="text1"/>
        </w:rPr>
        <w:t>i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obejmą zakresem m.in.:  </w:t>
      </w:r>
      <w:r>
        <w:rPr>
          <w:color w:val="000000" w:themeColor="text1"/>
        </w:rPr>
        <w:t>u</w:t>
      </w:r>
      <w:r w:rsidRPr="009B43B9">
        <w:rPr>
          <w:color w:val="000000" w:themeColor="text1"/>
        </w:rPr>
        <w:t xml:space="preserve">żytkowane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</w:t>
      </w:r>
      <w:r>
        <w:rPr>
          <w:color w:val="000000" w:themeColor="text1"/>
        </w:rPr>
        <w:t>e; b</w:t>
      </w:r>
      <w:r w:rsidRPr="009B43B9">
        <w:rPr>
          <w:color w:val="000000" w:themeColor="text1"/>
        </w:rPr>
        <w:t xml:space="preserve">udowę, architekturę i konfigurację </w:t>
      </w:r>
      <w:r w:rsidR="00486C86">
        <w:rPr>
          <w:color w:val="000000" w:themeColor="text1"/>
        </w:rPr>
        <w:t>r</w:t>
      </w:r>
      <w:r w:rsidR="00486C86" w:rsidRPr="009B43B9">
        <w:rPr>
          <w:color w:val="000000" w:themeColor="text1"/>
        </w:rPr>
        <w:t>ozwiązania</w:t>
      </w:r>
      <w:r w:rsidR="00486C86">
        <w:rPr>
          <w:color w:val="000000" w:themeColor="text1"/>
        </w:rPr>
        <w:t xml:space="preserve">; </w:t>
      </w:r>
      <w:r w:rsidR="00486C86" w:rsidRPr="009B43B9">
        <w:rPr>
          <w:color w:val="000000" w:themeColor="text1"/>
        </w:rPr>
        <w:t>administrowanie</w:t>
      </w:r>
      <w:r w:rsidRPr="009B43B9">
        <w:rPr>
          <w:color w:val="000000" w:themeColor="text1"/>
        </w:rPr>
        <w:t xml:space="preserve"> wdrożonym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ozwiązaniem</w:t>
      </w:r>
      <w:r>
        <w:rPr>
          <w:color w:val="000000" w:themeColor="text1"/>
        </w:rPr>
        <w:t>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Instruktaże stanowiskowe zostaną przeprowadzone przez </w:t>
      </w:r>
      <w:r>
        <w:rPr>
          <w:color w:val="000000" w:themeColor="text1"/>
        </w:rPr>
        <w:t>osoby prowadzące prace wdrożeniowe w ramach niniejszego zamówienia.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Instruktaże powinny trwać minimum 8 godzin lekcyjnych (45 minut) i będą przeprowadzone dla wskazanej przez Zamawiającego liczby osób (maksymalnie </w:t>
      </w:r>
      <w:r w:rsidR="00BE6BBD">
        <w:rPr>
          <w:color w:val="000000" w:themeColor="text1"/>
        </w:rPr>
        <w:t>2</w:t>
      </w:r>
      <w:r>
        <w:rPr>
          <w:color w:val="000000" w:themeColor="text1"/>
        </w:rPr>
        <w:t xml:space="preserve"> osoby).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>Zamawiający dopuszcza przeprowadzeni</w:t>
      </w:r>
      <w:r>
        <w:rPr>
          <w:color w:val="000000" w:themeColor="text1"/>
        </w:rPr>
        <w:t>a</w:t>
      </w:r>
      <w:r w:rsidRPr="009B43B9">
        <w:rPr>
          <w:color w:val="000000" w:themeColor="text1"/>
        </w:rPr>
        <w:t xml:space="preserve"> instruktaży w trybie zdalnym</w:t>
      </w:r>
      <w:r>
        <w:rPr>
          <w:color w:val="000000" w:themeColor="text1"/>
        </w:rPr>
        <w:t xml:space="preserve"> (online).</w:t>
      </w:r>
    </w:p>
    <w:p w:rsidR="0044138D" w:rsidRPr="009B43B9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Administratorzy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ozwiązania po zakończeniu Instruktaży stanowiskowych muszą w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szczególności umieć wykonywać czynności administracyjne, a także instalacji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programowania, znać i umieć realizować procedury backupu. Ponadto powinni znać typowe zagrożenia i problemy związane z</w:t>
      </w:r>
      <w:r>
        <w:rPr>
          <w:color w:val="000000" w:themeColor="text1"/>
        </w:rPr>
        <w:t xml:space="preserve"> </w:t>
      </w:r>
      <w:r w:rsidRPr="009B43B9">
        <w:rPr>
          <w:color w:val="000000" w:themeColor="text1"/>
        </w:rPr>
        <w:t xml:space="preserve">funkcjonowaniem rozwiązania, a także sposoby ich przeciwdziałania, wykrywania i usuwania. Powinni umieć instalować, konfigurować, rekonfigurować, monitorować i prawidłowo eksploatować </w:t>
      </w:r>
      <w:r>
        <w:rPr>
          <w:color w:val="000000" w:themeColor="text1"/>
        </w:rPr>
        <w:t>wdrożone rozwiązanie</w:t>
      </w:r>
      <w:r w:rsidRPr="009B43B9">
        <w:rPr>
          <w:color w:val="000000" w:themeColor="text1"/>
        </w:rPr>
        <w:t>, jak również znać jego wdrożoną konfigurację</w:t>
      </w:r>
      <w:r>
        <w:rPr>
          <w:color w:val="000000" w:themeColor="text1"/>
        </w:rPr>
        <w:t>.</w:t>
      </w:r>
    </w:p>
    <w:p w:rsidR="005E01B1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 poniżej wskazanych wymaganiach Zamawiający posługuje się terminami „musi”, „powinien”, „możliwość” określając w ten sposób wymaganą funkcjonalność oprogramowania.</w:t>
      </w:r>
    </w:p>
    <w:p w:rsidR="005E01B1" w:rsidRDefault="005E01B1">
      <w:r>
        <w:br w:type="page"/>
      </w:r>
    </w:p>
    <w:p w:rsidR="000C7B9C" w:rsidRDefault="000C7B9C" w:rsidP="000C7B9C">
      <w:pPr>
        <w:pStyle w:val="Nagwek1"/>
        <w:numPr>
          <w:ilvl w:val="1"/>
          <w:numId w:val="1"/>
        </w:numPr>
        <w:spacing w:after="240" w:line="276" w:lineRule="auto"/>
      </w:pPr>
      <w:bookmarkStart w:id="7" w:name="_Toc210373438"/>
      <w:r>
        <w:lastRenderedPageBreak/>
        <w:t>Zakup serwera (1 szt.).</w:t>
      </w:r>
      <w:bookmarkEnd w:id="7"/>
    </w:p>
    <w:p w:rsidR="00D27129" w:rsidRPr="00940B65" w:rsidRDefault="00D27129" w:rsidP="00D27129">
      <w:pPr>
        <w:spacing w:before="100" w:beforeAutospacing="1" w:after="120" w:line="276" w:lineRule="auto"/>
        <w:jc w:val="both"/>
      </w:pPr>
      <w:r w:rsidRPr="00940B65">
        <w:t>Minimalne parametry techniczne serwera: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Obudowa </w:t>
      </w:r>
      <w:r>
        <w:rPr>
          <w:rFonts w:cstheme="minorHAnsi"/>
          <w:lang w:eastAsia="pl-PL"/>
        </w:rPr>
        <w:t>t</w:t>
      </w:r>
      <w:r w:rsidRPr="00AF21A7">
        <w:rPr>
          <w:rFonts w:cstheme="minorHAnsi"/>
          <w:lang w:eastAsia="pl-PL"/>
        </w:rPr>
        <w:t xml:space="preserve">ypu </w:t>
      </w:r>
      <w:r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o wysokości maksymalnie </w:t>
      </w:r>
      <w:r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U z możliwością instalacji </w:t>
      </w:r>
      <w:r>
        <w:rPr>
          <w:rFonts w:cstheme="minorHAnsi"/>
          <w:lang w:eastAsia="pl-PL"/>
        </w:rPr>
        <w:t>min.</w:t>
      </w:r>
      <w:r w:rsidRPr="00AF21A7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1</w:t>
      </w:r>
      <w:r w:rsidR="006B292A"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 dysków </w:t>
      </w:r>
      <w:r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.5" Hot-Plug, z kompletem szyn umożliwiających montaż w szafie </w:t>
      </w:r>
      <w:r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i wysuwanie serwera do celów serwisowych</w:t>
      </w:r>
      <w:r>
        <w:rPr>
          <w:rFonts w:cstheme="minorHAnsi"/>
          <w:lang w:eastAsia="pl-PL"/>
        </w:rPr>
        <w:t>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Płyta główna z możliwością zainstalowania </w:t>
      </w:r>
      <w:r>
        <w:rPr>
          <w:rFonts w:cstheme="minorHAnsi"/>
          <w:lang w:eastAsia="pl-PL"/>
        </w:rPr>
        <w:t>dwóch procesorów.</w:t>
      </w:r>
    </w:p>
    <w:p w:rsidR="00D27129" w:rsidRPr="000D226D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Zainstalowan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dwa procesory</w:t>
      </w:r>
      <w:r w:rsidRPr="00AF21A7">
        <w:rPr>
          <w:rFonts w:cstheme="minorHAnsi"/>
          <w:lang w:eastAsia="pl-PL"/>
        </w:rPr>
        <w:t xml:space="preserve"> klasy x86 dedykowan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do pracy z oferowanym serwerem, umożliwiając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osiągnięcie przez serwer wyniku co </w:t>
      </w:r>
      <w:r w:rsidRPr="0049351B">
        <w:rPr>
          <w:rFonts w:cstheme="minorHAnsi"/>
          <w:lang w:eastAsia="pl-PL"/>
        </w:rPr>
        <w:t xml:space="preserve">najmniej </w:t>
      </w:r>
      <w:r w:rsidR="00106EF2">
        <w:rPr>
          <w:rFonts w:cstheme="minorHAnsi"/>
          <w:lang w:eastAsia="pl-PL"/>
        </w:rPr>
        <w:t>245</w:t>
      </w:r>
      <w:r>
        <w:rPr>
          <w:rFonts w:cstheme="minorHAnsi"/>
          <w:lang w:eastAsia="pl-PL"/>
        </w:rPr>
        <w:t xml:space="preserve"> </w:t>
      </w:r>
      <w:r w:rsidRPr="0049351B">
        <w:rPr>
          <w:rFonts w:cstheme="minorHAnsi"/>
          <w:lang w:eastAsia="pl-PL"/>
        </w:rPr>
        <w:t>punktów</w:t>
      </w:r>
      <w:r w:rsidRPr="00AF21A7">
        <w:rPr>
          <w:rFonts w:cstheme="minorHAnsi"/>
          <w:lang w:eastAsia="pl-PL"/>
        </w:rPr>
        <w:t xml:space="preserve"> w teście SPECrate2017_</w:t>
      </w:r>
      <w:r w:rsidR="00646281">
        <w:rPr>
          <w:rFonts w:cstheme="minorHAnsi"/>
          <w:lang w:eastAsia="pl-PL"/>
        </w:rPr>
        <w:t>fp</w:t>
      </w:r>
      <w:r w:rsidRPr="00AF21A7">
        <w:rPr>
          <w:rFonts w:cstheme="minorHAnsi"/>
          <w:lang w:eastAsia="pl-PL"/>
        </w:rPr>
        <w:t xml:space="preserve">_base dla konfiguracji </w:t>
      </w:r>
      <w:r>
        <w:rPr>
          <w:rFonts w:cstheme="minorHAnsi"/>
          <w:lang w:eastAsia="pl-PL"/>
        </w:rPr>
        <w:t xml:space="preserve">dwuprocesorowej </w:t>
      </w:r>
      <w:r w:rsidRPr="00AF21A7">
        <w:rPr>
          <w:rFonts w:cstheme="minorHAnsi"/>
          <w:lang w:eastAsia="pl-PL"/>
        </w:rPr>
        <w:t xml:space="preserve">według wyników publikowanych na stronie </w:t>
      </w:r>
      <w:hyperlink r:id="rId8" w:history="1">
        <w:r w:rsidRPr="00AF21A7">
          <w:rPr>
            <w:rFonts w:cstheme="minorHAnsi"/>
            <w:lang w:eastAsia="pl-PL"/>
          </w:rPr>
          <w:t>www.spec.org</w:t>
        </w:r>
      </w:hyperlink>
      <w:r w:rsidRPr="000D226D">
        <w:rPr>
          <w:rFonts w:cstheme="minorHAnsi"/>
          <w:lang w:eastAsia="pl-PL"/>
        </w:rPr>
        <w:t>. Zamawiający żąda załączenia do oferty przedmiotowego środka dowodowego określonego w SWZ potwierdzającego spełnienie dla procesora dedykowanego do pracy z zaoferowanym serwerem żądanej przez Zamawiającego wydajności.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Pamięć RAM: </w:t>
      </w:r>
      <w:r>
        <w:rPr>
          <w:rFonts w:cstheme="minorHAnsi"/>
          <w:lang w:eastAsia="pl-PL"/>
        </w:rPr>
        <w:t xml:space="preserve">zainstalowane </w:t>
      </w:r>
      <w:r w:rsidRPr="00940B65">
        <w:rPr>
          <w:rFonts w:cstheme="minorHAnsi"/>
          <w:lang w:eastAsia="pl-PL"/>
        </w:rPr>
        <w:t xml:space="preserve">min. </w:t>
      </w:r>
      <w:r>
        <w:rPr>
          <w:rFonts w:cstheme="minorHAnsi"/>
          <w:lang w:eastAsia="pl-PL"/>
        </w:rPr>
        <w:t>256</w:t>
      </w:r>
      <w:r w:rsidRPr="00940B65">
        <w:rPr>
          <w:rFonts w:cstheme="minorHAnsi"/>
          <w:lang w:eastAsia="pl-PL"/>
        </w:rPr>
        <w:t xml:space="preserve"> GB</w:t>
      </w:r>
      <w:r>
        <w:rPr>
          <w:rFonts w:cstheme="minorHAnsi"/>
          <w:lang w:eastAsia="pl-PL"/>
        </w:rPr>
        <w:t xml:space="preserve"> w najnowszej technologii oferowanej przez producenta, p</w:t>
      </w:r>
      <w:r w:rsidRPr="00AF21A7">
        <w:rPr>
          <w:rFonts w:cstheme="minorHAnsi"/>
          <w:lang w:eastAsia="pl-PL"/>
        </w:rPr>
        <w:t xml:space="preserve">łyta główna musi obsługiwać do </w:t>
      </w:r>
      <w:r>
        <w:rPr>
          <w:rFonts w:cstheme="minorHAnsi"/>
          <w:lang w:eastAsia="pl-PL"/>
        </w:rPr>
        <w:t xml:space="preserve">min. </w:t>
      </w:r>
      <w:r w:rsidRPr="00AF21A7">
        <w:rPr>
          <w:rFonts w:cstheme="minorHAnsi"/>
          <w:lang w:eastAsia="pl-PL"/>
        </w:rPr>
        <w:t>1</w:t>
      </w:r>
      <w:r>
        <w:rPr>
          <w:rFonts w:cstheme="minorHAnsi"/>
          <w:lang w:eastAsia="pl-PL"/>
        </w:rPr>
        <w:t xml:space="preserve"> </w:t>
      </w:r>
      <w:r w:rsidRPr="00AF21A7">
        <w:rPr>
          <w:rFonts w:cstheme="minorHAnsi"/>
          <w:lang w:eastAsia="pl-PL"/>
        </w:rPr>
        <w:t>TB pamięci RAM DDR5</w:t>
      </w:r>
      <w:r>
        <w:rPr>
          <w:rFonts w:cstheme="minorHAnsi"/>
          <w:lang w:eastAsia="pl-PL"/>
        </w:rPr>
        <w:t>, co najmniej 12 slotów na pamięć wolnych w oferowanej konfiguracji.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Zabezpieczenia pamięci RAM: </w:t>
      </w:r>
      <w:r w:rsidRPr="00940B65">
        <w:t>Memory Rank Sparing i/lub Memory Mirror i/lub Single Device Data Correction i/lub Memory Lockstep i/lub Chipkill i/lub Extended ECC i/lub Advanced Memory Device Correction i/lub AMD Memory Guard i/lub ECC</w:t>
      </w:r>
      <w:r>
        <w:t xml:space="preserve"> i/lub </w:t>
      </w:r>
      <w:r w:rsidRPr="006163B3">
        <w:t>Demand Scrubbing</w:t>
      </w:r>
      <w:r>
        <w:t xml:space="preserve"> i/lub </w:t>
      </w:r>
      <w:r w:rsidRPr="006163B3">
        <w:t>Patrol Scrubbing</w:t>
      </w:r>
      <w:r>
        <w:t xml:space="preserve"> i/lub </w:t>
      </w:r>
      <w:r w:rsidRPr="006163B3">
        <w:t>Permanent Fault Detection (PFD)</w:t>
      </w:r>
      <w:r>
        <w:t>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Zintegrowana karta graficzna ze złączem VGA.</w:t>
      </w:r>
    </w:p>
    <w:p w:rsidR="00D27129" w:rsidRPr="00106EF2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106EF2">
        <w:rPr>
          <w:rFonts w:cstheme="minorHAnsi"/>
          <w:lang w:eastAsia="pl-PL"/>
        </w:rPr>
        <w:t xml:space="preserve">Interfejsy sieciowe: Wbudowane co najmniej </w:t>
      </w:r>
      <w:r w:rsidR="006B292A" w:rsidRPr="00106EF2">
        <w:rPr>
          <w:rFonts w:cstheme="minorHAnsi"/>
          <w:lang w:eastAsia="pl-PL"/>
        </w:rPr>
        <w:t>2</w:t>
      </w:r>
      <w:r w:rsidRPr="00106EF2">
        <w:rPr>
          <w:rFonts w:cstheme="minorHAnsi"/>
          <w:lang w:eastAsia="pl-PL"/>
        </w:rPr>
        <w:t xml:space="preserve"> interfejsy sieciowe 1Gb Ethernet w standardzie BaseT, </w:t>
      </w:r>
      <w:r w:rsidR="006B292A" w:rsidRPr="00106EF2">
        <w:rPr>
          <w:rFonts w:cstheme="minorHAnsi"/>
          <w:lang w:eastAsia="pl-PL"/>
        </w:rPr>
        <w:t xml:space="preserve">co najmniej 2 interfejsy sieciowe </w:t>
      </w:r>
      <w:r w:rsidR="00106EF2" w:rsidRPr="00106EF2">
        <w:rPr>
          <w:rFonts w:cstheme="minorHAnsi"/>
          <w:lang w:eastAsia="pl-PL"/>
        </w:rPr>
        <w:t xml:space="preserve">10Gb Ethernet w standardzie 10GBase-T, </w:t>
      </w:r>
      <w:r w:rsidRPr="00106EF2">
        <w:rPr>
          <w:rFonts w:cstheme="minorHAnsi"/>
          <w:lang w:eastAsia="pl-PL"/>
        </w:rPr>
        <w:t>co najmniej 2 interfejsy w 10GbE w standardzie SFP+ z dedykowanymi wkładkami do każdego portu.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FC7128">
        <w:rPr>
          <w:rFonts w:cstheme="minorHAnsi"/>
          <w:lang w:eastAsia="pl-PL"/>
        </w:rPr>
        <w:t xml:space="preserve">Dyski twarde: Możliwość instalacji dysków SATA, SAS, SSD. Zainstalowane 2 dyski twarde Hot-Plug SSD SATA o prędkości min. </w:t>
      </w:r>
      <w:r>
        <w:rPr>
          <w:rFonts w:cstheme="minorHAnsi"/>
          <w:lang w:eastAsia="pl-PL"/>
        </w:rPr>
        <w:t>6</w:t>
      </w:r>
      <w:r w:rsidRPr="00FC7128">
        <w:rPr>
          <w:rFonts w:cstheme="minorHAnsi"/>
          <w:lang w:eastAsia="pl-PL"/>
        </w:rPr>
        <w:t xml:space="preserve"> Gb/s o pojemności co najmniej 480 GB każdy</w:t>
      </w:r>
      <w:r w:rsidR="006B292A">
        <w:rPr>
          <w:rFonts w:cstheme="minorHAnsi"/>
          <w:lang w:eastAsia="pl-PL"/>
        </w:rPr>
        <w:t xml:space="preserve"> oraz 5 dysków twardych </w:t>
      </w:r>
      <w:r w:rsidR="006B292A" w:rsidRPr="00FC7128">
        <w:rPr>
          <w:rFonts w:cstheme="minorHAnsi"/>
          <w:lang w:eastAsia="pl-PL"/>
        </w:rPr>
        <w:t>Hot-Plug</w:t>
      </w:r>
      <w:r w:rsidR="006B292A">
        <w:rPr>
          <w:rFonts w:cstheme="minorHAnsi"/>
          <w:lang w:eastAsia="pl-PL"/>
        </w:rPr>
        <w:t xml:space="preserve"> SAS </w:t>
      </w:r>
      <w:r w:rsidR="006B292A" w:rsidRPr="00FC7128">
        <w:rPr>
          <w:rFonts w:cstheme="minorHAnsi"/>
          <w:lang w:eastAsia="pl-PL"/>
        </w:rPr>
        <w:t xml:space="preserve">o prędkości min. </w:t>
      </w:r>
      <w:r w:rsidR="006B292A">
        <w:rPr>
          <w:rFonts w:cstheme="minorHAnsi"/>
          <w:lang w:eastAsia="pl-PL"/>
        </w:rPr>
        <w:t>12</w:t>
      </w:r>
      <w:r w:rsidR="006B292A" w:rsidRPr="00FC7128">
        <w:rPr>
          <w:rFonts w:cstheme="minorHAnsi"/>
          <w:lang w:eastAsia="pl-PL"/>
        </w:rPr>
        <w:t xml:space="preserve"> Gb/s o pojemności co najmniej </w:t>
      </w:r>
      <w:r w:rsidR="006B292A">
        <w:rPr>
          <w:rFonts w:cstheme="minorHAnsi"/>
          <w:lang w:eastAsia="pl-PL"/>
        </w:rPr>
        <w:t>2,4 TB</w:t>
      </w:r>
      <w:r w:rsidR="006B292A" w:rsidRPr="00FC7128">
        <w:rPr>
          <w:rFonts w:cstheme="minorHAnsi"/>
          <w:lang w:eastAsia="pl-PL"/>
        </w:rPr>
        <w:t xml:space="preserve"> każdy</w:t>
      </w:r>
      <w:r w:rsidRPr="00FC7128">
        <w:rPr>
          <w:rFonts w:cstheme="minorHAnsi"/>
          <w:lang w:eastAsia="pl-PL"/>
        </w:rPr>
        <w:t>.</w:t>
      </w:r>
      <w:r w:rsidRPr="00D77D65">
        <w:rPr>
          <w:rFonts w:cstheme="minorHAnsi"/>
          <w:lang w:eastAsia="pl-PL"/>
        </w:rPr>
        <w:t xml:space="preserve"> W</w:t>
      </w:r>
      <w:r w:rsidRPr="00AF21A7">
        <w:rPr>
          <w:rFonts w:cstheme="minorHAnsi"/>
          <w:lang w:eastAsia="pl-PL"/>
        </w:rPr>
        <w:t xml:space="preserve"> przypadku uszkodzenia dysku w okresie gwarancji Zamawiający wymaga by uszkodzony dysk pozostał jego własnością.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Kontroler RAID: Sprzętowy kontroler dyskowy</w:t>
      </w:r>
      <w:r>
        <w:rPr>
          <w:rFonts w:cstheme="minorHAnsi"/>
          <w:lang w:eastAsia="pl-PL"/>
        </w:rPr>
        <w:t xml:space="preserve"> umożliwiający </w:t>
      </w:r>
      <w:r w:rsidRPr="00940B65">
        <w:rPr>
          <w:rFonts w:cstheme="minorHAnsi"/>
          <w:lang w:eastAsia="pl-PL"/>
        </w:rPr>
        <w:t xml:space="preserve">konfiguracje poziomów RAID: 0, 1, 5, </w:t>
      </w:r>
      <w:r>
        <w:rPr>
          <w:rFonts w:cstheme="minorHAnsi"/>
          <w:lang w:eastAsia="pl-PL"/>
        </w:rPr>
        <w:t xml:space="preserve">6, </w:t>
      </w:r>
      <w:r w:rsidRPr="00940B65">
        <w:rPr>
          <w:rFonts w:cstheme="minorHAnsi"/>
          <w:lang w:eastAsia="pl-PL"/>
        </w:rPr>
        <w:t>10, 50</w:t>
      </w:r>
      <w:r>
        <w:rPr>
          <w:rFonts w:cstheme="minorHAnsi"/>
          <w:lang w:eastAsia="pl-PL"/>
        </w:rPr>
        <w:t>, 60.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Wsparcie dla dysków samoszyfrujących.</w:t>
      </w:r>
    </w:p>
    <w:p w:rsidR="00D27129" w:rsidRPr="00D14BC6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Wbudowane porty:</w:t>
      </w:r>
      <w:r w:rsidRPr="00D14BC6">
        <w:rPr>
          <w:rFonts w:cstheme="minorHAnsi"/>
          <w:lang w:eastAsia="pl-PL"/>
        </w:rPr>
        <w:tab/>
        <w:t xml:space="preserve"> min. 3 porty USB, w tym co najmniej 1 port USB musi być dostępny z przodu obudowy. Ilość dostępnych portów USB nie może być osiągnięta poprzez stosowanie zewnętrznych przejściówek, rozgałęziaczy czy dodatkowych kart rozszerzeń zajmujących jakikolwiek slot PCI Express serwera.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Wentylatory: typu Hot Plug.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Zasilacze: Redundantne typu Hot Plug</w:t>
      </w:r>
      <w:r>
        <w:rPr>
          <w:rFonts w:cstheme="minorHAnsi"/>
          <w:lang w:eastAsia="pl-PL"/>
        </w:rPr>
        <w:t xml:space="preserve"> o mocy nieprzekraczającej </w:t>
      </w:r>
      <w:r w:rsidR="005B01AB" w:rsidRPr="003952DB">
        <w:rPr>
          <w:rFonts w:cstheme="minorHAnsi"/>
          <w:lang w:eastAsia="pl-PL"/>
        </w:rPr>
        <w:t>7</w:t>
      </w:r>
      <w:r w:rsidRPr="003952DB">
        <w:rPr>
          <w:rFonts w:cstheme="minorHAnsi"/>
          <w:lang w:eastAsia="pl-PL"/>
        </w:rPr>
        <w:t>00</w:t>
      </w:r>
      <w:r>
        <w:rPr>
          <w:rFonts w:cstheme="minorHAnsi"/>
          <w:lang w:eastAsia="pl-PL"/>
        </w:rPr>
        <w:t xml:space="preserve"> W każdy.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Karta</w:t>
      </w:r>
      <w:r>
        <w:rPr>
          <w:rFonts w:cstheme="minorHAnsi"/>
          <w:lang w:eastAsia="pl-PL"/>
        </w:rPr>
        <w:t>/moduł</w:t>
      </w:r>
      <w:r w:rsidRPr="00940B65">
        <w:rPr>
          <w:rFonts w:cstheme="minorHAnsi"/>
          <w:lang w:eastAsia="pl-PL"/>
        </w:rPr>
        <w:t xml:space="preserve"> zarządzania: Niezależn</w:t>
      </w:r>
      <w:r>
        <w:rPr>
          <w:rFonts w:cstheme="minorHAnsi"/>
          <w:lang w:eastAsia="pl-PL"/>
        </w:rPr>
        <w:t>y</w:t>
      </w:r>
      <w:r w:rsidRPr="00940B65">
        <w:rPr>
          <w:rFonts w:cstheme="minorHAnsi"/>
          <w:lang w:eastAsia="pl-PL"/>
        </w:rPr>
        <w:t xml:space="preserve"> od zainstalowanego na serwerze systemu operacyjnego posiadając</w:t>
      </w:r>
      <w:r>
        <w:rPr>
          <w:rFonts w:cstheme="minorHAnsi"/>
          <w:lang w:eastAsia="pl-PL"/>
        </w:rPr>
        <w:t>y</w:t>
      </w:r>
      <w:r w:rsidRPr="00940B65">
        <w:rPr>
          <w:rFonts w:cstheme="minorHAnsi"/>
          <w:lang w:eastAsia="pl-PL"/>
        </w:rPr>
        <w:t xml:space="preserve"> dedykowane </w:t>
      </w:r>
      <w:r>
        <w:rPr>
          <w:rFonts w:cstheme="minorHAnsi"/>
          <w:lang w:eastAsia="pl-PL"/>
        </w:rPr>
        <w:t>złącze</w:t>
      </w:r>
      <w:r w:rsidRPr="00940B65">
        <w:rPr>
          <w:rFonts w:cstheme="minorHAnsi"/>
          <w:lang w:eastAsia="pl-PL"/>
        </w:rPr>
        <w:t xml:space="preserve"> umożliwiając</w:t>
      </w:r>
      <w:r>
        <w:rPr>
          <w:rFonts w:cstheme="minorHAnsi"/>
          <w:lang w:eastAsia="pl-PL"/>
        </w:rPr>
        <w:t>y zdalne zarządzanie</w:t>
      </w:r>
      <w:r w:rsidRPr="00940B65">
        <w:rPr>
          <w:rFonts w:cstheme="minorHAnsi"/>
          <w:lang w:eastAsia="pl-PL"/>
        </w:rPr>
        <w:t>: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zdalny dostęp do graficznego interfejsu Web karty zarządzającej,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zdalne monitorowanie i informowanie o statusie serwera,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szyfrowane połączenie oraz autentykacje i autoryzację użytkownika,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możliwość podmontowania zdalnych wirtualnych napędów,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lastRenderedPageBreak/>
        <w:t>wirtualną konsolę z dostępem do myszy, klawiatury,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wsparcie dla IPv6,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wsparcie dla SNMP; IPMI2.0, VLAN tagging, SSH,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integracja z Active Directory,</w:t>
      </w:r>
    </w:p>
    <w:p w:rsidR="00D27129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wsparcie dla dynamic DNS</w:t>
      </w:r>
      <w:r>
        <w:rPr>
          <w:rFonts w:cstheme="minorHAnsi"/>
          <w:lang w:eastAsia="pl-PL"/>
        </w:rPr>
        <w:t>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System bezpieczeństwa serwera realizowany poprzez następujące zabezpieczenia: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D14BC6">
        <w:rPr>
          <w:rFonts w:cstheme="minorHAnsi"/>
          <w:lang w:eastAsia="pl-PL"/>
        </w:rPr>
        <w:t>budowane diody informacyjne lub wyświetlacz informujące o stanie serwera</w:t>
      </w:r>
      <w:r>
        <w:rPr>
          <w:rFonts w:cstheme="minorHAnsi"/>
          <w:lang w:eastAsia="pl-PL"/>
        </w:rPr>
        <w:t>;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b</w:t>
      </w:r>
      <w:r w:rsidRPr="00D14BC6">
        <w:rPr>
          <w:rFonts w:cstheme="minorHAnsi"/>
          <w:lang w:eastAsia="pl-PL"/>
        </w:rPr>
        <w:t>lokada zamykana na klucz służąca do ochrony nieautoryzowanego dostępu do dysków twardych</w:t>
      </w:r>
      <w:r>
        <w:rPr>
          <w:rFonts w:cstheme="minorHAnsi"/>
          <w:lang w:eastAsia="pl-PL"/>
        </w:rPr>
        <w:t>;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D14BC6">
        <w:rPr>
          <w:rFonts w:cstheme="minorHAnsi"/>
          <w:lang w:eastAsia="pl-PL"/>
        </w:rPr>
        <w:t>oduł TPM 2.0</w:t>
      </w:r>
      <w:r>
        <w:rPr>
          <w:rFonts w:cstheme="minorHAnsi"/>
          <w:lang w:eastAsia="pl-PL"/>
        </w:rPr>
        <w:t>.</w:t>
      </w:r>
    </w:p>
    <w:p w:rsidR="005B01AB" w:rsidRPr="003952DB" w:rsidRDefault="005B01AB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3952DB">
        <w:rPr>
          <w:rFonts w:cstheme="minorHAnsi"/>
          <w:lang w:eastAsia="pl-PL"/>
        </w:rPr>
        <w:t>Serwer powinien posiadać funkcjonalność umożliwiającą konfigurację i monitoring kluczowych komponentów (takich jak CPU, RAM, dyski, temperatury, statusy wentylatorów) za pomocą aplikacji mobilnej. Aplikacja powinna być dostępna na urządzenia mobilne działające na systemach Android oraz iOS i umożliwiać dostęp do serwera za pomocą popularnych protokołów bezprzewodowych, takich jak BLE lub Wi-Fi.</w:t>
      </w:r>
    </w:p>
    <w:p w:rsidR="00D27129" w:rsidRPr="00E60141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60141">
        <w:rPr>
          <w:rFonts w:cstheme="minorHAnsi"/>
          <w:lang w:eastAsia="pl-PL"/>
        </w:rPr>
        <w:t xml:space="preserve">Wykonawca jest zobowiązany do dostawy wraz z serwerem systemu operacyjnego umożliwiającego zarządzenie serwerem klasy Microsoft Windows Serwer Standard 2025 wraz z </w:t>
      </w:r>
      <w:r w:rsidR="003952DB">
        <w:rPr>
          <w:rFonts w:cstheme="minorHAnsi"/>
          <w:lang w:eastAsia="pl-PL"/>
        </w:rPr>
        <w:t>20</w:t>
      </w:r>
      <w:r w:rsidRPr="00E60141">
        <w:rPr>
          <w:rFonts w:cstheme="minorHAnsi"/>
          <w:lang w:eastAsia="pl-PL"/>
        </w:rPr>
        <w:t xml:space="preserve"> licencjami dostępowymi umożliwiającymi korzystanie przez </w:t>
      </w:r>
      <w:r w:rsidR="003952DB">
        <w:rPr>
          <w:rFonts w:cstheme="minorHAnsi"/>
          <w:lang w:eastAsia="pl-PL"/>
        </w:rPr>
        <w:t>20</w:t>
      </w:r>
      <w:r w:rsidRPr="00E6014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użytkowników z zasobów </w:t>
      </w:r>
      <w:r w:rsidR="006B292A">
        <w:rPr>
          <w:rFonts w:cstheme="minorHAnsi"/>
          <w:lang w:eastAsia="pl-PL"/>
        </w:rPr>
        <w:t>serwera</w:t>
      </w:r>
      <w:r>
        <w:rPr>
          <w:rFonts w:cstheme="minorHAnsi"/>
          <w:lang w:eastAsia="pl-PL"/>
        </w:rPr>
        <w:t xml:space="preserve"> </w:t>
      </w:r>
      <w:r w:rsidRPr="00E60141">
        <w:rPr>
          <w:rFonts w:cstheme="minorHAnsi"/>
          <w:lang w:eastAsia="pl-PL"/>
        </w:rPr>
        <w:t>lub równoważnego systemu zgodnie z poniżej określonymi warunkami równoważności.</w:t>
      </w:r>
    </w:p>
    <w:p w:rsidR="00D27129" w:rsidRPr="00B03B39" w:rsidRDefault="00D27129" w:rsidP="00D27129">
      <w:pPr>
        <w:pStyle w:val="Akapitzlist"/>
        <w:spacing w:before="100" w:beforeAutospacing="1" w:after="120" w:line="276" w:lineRule="auto"/>
        <w:ind w:left="360"/>
        <w:jc w:val="both"/>
        <w:rPr>
          <w:rFonts w:cstheme="minorHAnsi"/>
          <w:lang w:eastAsia="pl-PL"/>
        </w:rPr>
      </w:pPr>
      <w:r w:rsidRPr="00B03B39">
        <w:rPr>
          <w:rFonts w:cstheme="minorHAnsi"/>
        </w:rPr>
        <w:t xml:space="preserve">Warunki równoważności dla dostawy oprogramowania Microsoft Windows Serwer </w:t>
      </w:r>
      <w:r>
        <w:rPr>
          <w:rFonts w:cstheme="minorHAnsi"/>
        </w:rPr>
        <w:t xml:space="preserve">Standard </w:t>
      </w:r>
      <w:r w:rsidRPr="00B03B39">
        <w:rPr>
          <w:rFonts w:cstheme="minorHAnsi"/>
        </w:rPr>
        <w:t>202</w:t>
      </w:r>
      <w:r>
        <w:rPr>
          <w:rFonts w:cstheme="minorHAnsi"/>
        </w:rPr>
        <w:t>5</w:t>
      </w:r>
      <w:r w:rsidRPr="00B03B39">
        <w:rPr>
          <w:rFonts w:cstheme="minorHAnsi"/>
        </w:rPr>
        <w:t xml:space="preserve"> wraz z </w:t>
      </w:r>
      <w:r w:rsidR="003952DB">
        <w:rPr>
          <w:rFonts w:cstheme="minorHAnsi"/>
        </w:rPr>
        <w:t>20</w:t>
      </w:r>
      <w:r w:rsidRPr="00B03B39">
        <w:rPr>
          <w:rFonts w:cstheme="minorHAnsi"/>
        </w:rPr>
        <w:t xml:space="preserve"> licencjami dostępowymi Microsoft Windows Server 202</w:t>
      </w:r>
      <w:r>
        <w:rPr>
          <w:rFonts w:cstheme="minorHAnsi"/>
        </w:rPr>
        <w:t>5</w:t>
      </w:r>
      <w:r w:rsidRPr="00B03B39">
        <w:rPr>
          <w:rFonts w:cstheme="minorHAnsi"/>
        </w:rPr>
        <w:t xml:space="preserve"> CAL </w:t>
      </w:r>
      <w:r>
        <w:rPr>
          <w:rFonts w:cstheme="minorHAnsi"/>
        </w:rPr>
        <w:t>User</w:t>
      </w:r>
      <w:r w:rsidRPr="00B03B39">
        <w:rPr>
          <w:rFonts w:cstheme="minorHAnsi"/>
        </w:rPr>
        <w:t>: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Licencja musi uprawniać do uruchamiania serwerowego systemu operacyjnego w środowisku fizycznym i </w:t>
      </w:r>
      <w:r>
        <w:rPr>
          <w:rFonts w:cstheme="minorHAnsi"/>
          <w:lang w:eastAsia="pl-PL"/>
        </w:rPr>
        <w:t>dwóch</w:t>
      </w:r>
      <w:r w:rsidRPr="00244F2F">
        <w:rPr>
          <w:rFonts w:cstheme="minorHAnsi"/>
          <w:lang w:eastAsia="pl-PL"/>
        </w:rPr>
        <w:t xml:space="preserve"> wirtualnych środowisk</w:t>
      </w:r>
      <w:r>
        <w:rPr>
          <w:rFonts w:cstheme="minorHAnsi"/>
          <w:lang w:eastAsia="pl-PL"/>
        </w:rPr>
        <w:t>ach</w:t>
      </w:r>
      <w:r w:rsidRPr="00244F2F">
        <w:rPr>
          <w:rFonts w:cstheme="minorHAnsi"/>
          <w:lang w:eastAsia="pl-PL"/>
        </w:rPr>
        <w:t xml:space="preserve"> serwerowego systemu operacyjnego za pomocą wbudowanych mechanizmów wirtualizacji oraz dostępu do serwerowego systemu operacyjnego dla minimum </w:t>
      </w:r>
      <w:r w:rsidR="003952DB">
        <w:rPr>
          <w:rFonts w:cstheme="minorHAnsi"/>
          <w:lang w:eastAsia="pl-PL"/>
        </w:rPr>
        <w:t>20</w:t>
      </w:r>
      <w:r>
        <w:rPr>
          <w:rFonts w:cstheme="minorHAnsi"/>
          <w:lang w:eastAsia="pl-PL"/>
        </w:rPr>
        <w:t xml:space="preserve"> użytkowników.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wykorzystywania 240 procesorów wirtualnych oraz 1TB pamięci RAM i dysku o</w:t>
      </w:r>
      <w:r>
        <w:rPr>
          <w:rFonts w:cstheme="minorHAnsi"/>
          <w:lang w:eastAsia="pl-PL"/>
        </w:rPr>
        <w:t> </w:t>
      </w:r>
      <w:r w:rsidRPr="00244F2F">
        <w:rPr>
          <w:rFonts w:cstheme="minorHAnsi"/>
          <w:lang w:eastAsia="pl-PL"/>
        </w:rPr>
        <w:t>pojemności min. 64TB przez każdy wirtualny serwerowy system operacyjny.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migracji maszyn wirtualnych bez zatrzymywania ich pracy między fizycznymi serwerami z uruchomionym mechanizmem wirtualizacji (hypervisor) przez sieć Ethernet, bez konieczności stosowania dodatkowych mechanizmów współdzielenia pamięci.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(na umożliwiającym to sprzęcie) dodawania i wymiany pamięci RAM bez przerywania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(na umożliwiającym to sprzęcie) dodawania i wymiany procesorów bez przerywania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Automatyczna weryfikacja cyfrowych sygnatur sterowników w celu sprawdzenia czy sterownik przeszedł testy jakości przeprowadzone przez producenta systemu operacyjnego.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dynamicznego obniżania poboru energii przez rdzenie procesorów niewykorzystywane w bieżącej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Mechanizm ten musi uwzględniać specyfikę procesorów wyposażonych w mechanizmy Hyper-Threading;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Wbudowany mechanizm klasyfikowania i indeksowania plików (dokumentów) w oparciu o ich zawartość.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Wbudowane szyfrowanie dysków przy pomocy mechanizmów posiadających certyfikat FIPS 140-2 lub równoważny wydany przez NIST lub inną agendę rządową zajmującą się bezpieczeństwem informacji.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lastRenderedPageBreak/>
        <w:t>Możliwość uruchamianie aplikacji internetowych wykorzystujących technologię ASP.NET.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dystrybucji ruchu sieciowego HTTP pomiędzy kilka serwerów.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Wbudowana zapora internetowa (firewall) z obsługą definiowanych reguł dla ochrony połączeń internetowych i intranetowych.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Zlokalizowane w języku polskim, co najmniej następujące elementy: menu, przeglądarka internetowa, pomoc, komunikaty systemowe.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zmiany języka interfejsu po zainstalowaniu systemu, dla co najmniej 2 języków poprzez wybór z listy dostępnych lokalizacji.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dla większości powszechnie używanych urządzeń peryferyjnych (drukarek, urządzeń sieciowych, standardów USB, Plug&amp;Play).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zdalnej konfiguracji, administrowania oraz aktualizowania systemu.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dostępu do zasobu dyskowego SSO poprzez wiele ścieżek (Multipath).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instalacji poprawek poprzez wgranie ich do obrazu instalacyjnego.</w:t>
      </w:r>
    </w:p>
    <w:p w:rsidR="00D27129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Mechanizmy zdalnej administracji oraz mechanizmy (również działające zdalnie) administracji przez skrypty.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Oferowany serwer musi znajdować się na liście Windows Server Catalog i posiadać status „Certified for Windows” dla systemów Microsoft Windows Server 2022, Microsoft Windows Server 2025.</w:t>
      </w:r>
    </w:p>
    <w:p w:rsidR="00D27129" w:rsidRPr="000D226D" w:rsidRDefault="00D27129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>Jakość produktu i sposobu jego wykonania: Certyfikat ISO 9001 lub inny równoważny dokument poświadczający, że producent serwera opracował, wdrożył i certyfikował system zarządzania jakością; Certyfikat ISO 50001</w:t>
      </w:r>
      <w:r>
        <w:rPr>
          <w:color w:val="000000" w:themeColor="text1"/>
        </w:rPr>
        <w:t xml:space="preserve"> lub ISO 14001</w:t>
      </w:r>
      <w:r w:rsidRPr="000636DA">
        <w:rPr>
          <w:color w:val="000000" w:themeColor="text1"/>
        </w:rPr>
        <w:t xml:space="preserve"> lub inny równoważny dokument poświadczający, że producent serwera posiada system zarządzania energią, zmniejszający zużycie energii, wpływy na środowisko i zwiększający rentowność; Deklaracja zgodności CE lub inny równoważny dokument poświadczający, ze oferowany serwer spełnia wszystkie zasadnicze wymagania zawarte w poszczególnych dyrektywach nowego podejścia przewidujących oznakowanie CE; Potwierdzenie spełnienia kryteriów środowiskowych, w tym zgodności z dyrektywą RoHS Unii Europejskiej o eliminacji substancji niebezpiecznych w postaci oświadczenia producenta serwera lub innego dokumentu potwierdzającego spełnienie kryteriów </w:t>
      </w:r>
      <w:r w:rsidRPr="000D226D">
        <w:rPr>
          <w:color w:val="000000" w:themeColor="text1"/>
        </w:rPr>
        <w:t>środowiskowych w tym zgodności z dyrektywą RoHS Unii Europejskiej o eliminacji substancji niebezpiecznych</w:t>
      </w:r>
      <w:r w:rsidR="005D498F" w:rsidRPr="000D226D">
        <w:rPr>
          <w:color w:val="000000" w:themeColor="text1"/>
        </w:rPr>
        <w:t xml:space="preserve">. </w:t>
      </w:r>
      <w:r w:rsidRPr="000D226D">
        <w:t>Zamawiający żąda załączenia do oferty przedmiotowych środków dowodowych - dokumentów potwierdzających spełnienie przez oferowany serwer i jego/ich producenta/producentów wymagań w zakresie określonym powyżej.</w:t>
      </w:r>
    </w:p>
    <w:p w:rsidR="005D498F" w:rsidRPr="00324EF9" w:rsidRDefault="005D498F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3952DB">
        <w:rPr>
          <w:rFonts w:cstheme="minorHAnsi"/>
          <w:lang w:eastAsia="pl-PL"/>
        </w:rPr>
        <w:t xml:space="preserve">Gwarancja: min. 60 miesięcy gwarancji producenta obejmująca wszystkie komponenty serwera wchodzące w skład oferowanej konfiguracji realizowanej w miejscu instalacji sprzętu z czasem reakcji serwisu do następnego dnia roboczego od przyjęcia zgłoszenia, w przypadku awarii dysków Zamawiający wymaga, aby dyski pozostały u Zamawiającego. Możliwość zgłaszania awarii w języku polskim poprzez ogólnopolską linię telefoniczną producenta oraz dedykowany portal techniczny producenta, dla obu kanałów w trybie ciągłym, tj. niezależnie od pory dnia, dni roboczych i dni wolnych od pracy. Zamawiający wymaga pojedynczego serwisowego punktu kontaktu dla całego rozwiązania Producenta (w tym także zaoferowanego oprogramowania) umożliwiającego komunikację w języku polskim. 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ocenę bezpieczeństwa cybernetycznego. Wszelkie naprawy mogą być realizowane przez </w:t>
      </w:r>
      <w:r w:rsidRPr="003952DB">
        <w:rPr>
          <w:rFonts w:cstheme="minorHAnsi"/>
          <w:lang w:eastAsia="pl-PL"/>
        </w:rPr>
        <w:lastRenderedPageBreak/>
        <w:t xml:space="preserve">osoby certyfikowane przez producenta, które po diagnostyce muszą z właściwym zestawem części do naprawy (potwierdzonym na etapie diagnostyki) rozpocząć naprawę w siedzibie Zamawiającego najpóźniej w następnym dniu roboczym (NBD) od zakończenia diagnostyki. W przypadku jeżeli serwis gwarancyjny urządzeń nie będzie realizowany bezpośrednio przez producenta urządzenia, wówczas firma serwisująca musi posiadać certyfikat ISO 9001 oraz ISO 27001 </w:t>
      </w:r>
      <w:r w:rsidRPr="003952DB">
        <w:rPr>
          <w:color w:val="000000" w:themeColor="text1"/>
        </w:rPr>
        <w:t>lub inny równoważny dokument poświadczający</w:t>
      </w:r>
      <w:r w:rsidRPr="003952DB">
        <w:rPr>
          <w:rFonts w:cstheme="minorHAnsi"/>
          <w:lang w:eastAsia="pl-PL"/>
        </w:rPr>
        <w:t>, że usługi serwisu świadczone będą zgodnie z zasadami wynikającymi z tych norm oraz firma serwisująca musi posiadać autoryzacje producenta urządzeń, w takim przypadku Wykonawca jest zobowiązany dostarczyć wraz z ofertą dokumenty potwierdzające spełnienie przez firmę serwisującą przedmiotowego wymogu. Możliwość przedłużenia gwarancji producenta do 72 miesięcy.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8" w:name="_Toc210373439"/>
      <w:r w:rsidRPr="00324EF9">
        <w:t>Zakup macierzy (1 szt.).</w:t>
      </w:r>
      <w:bookmarkEnd w:id="8"/>
    </w:p>
    <w:p w:rsidR="008D7D9B" w:rsidRPr="00FB66BD" w:rsidRDefault="008D7D9B" w:rsidP="008D7D9B">
      <w:pPr>
        <w:spacing w:line="276" w:lineRule="auto"/>
      </w:pPr>
      <w:r w:rsidRPr="00FB66BD">
        <w:t>Minimalne parametry techniczne urządzenia: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Obudowa typu RACK o wysokości maksymalnie </w:t>
      </w:r>
      <w:r>
        <w:rPr>
          <w:rFonts w:cstheme="minorHAnsi"/>
          <w:lang w:eastAsia="pl-PL"/>
        </w:rPr>
        <w:t>3</w:t>
      </w:r>
      <w:r w:rsidRPr="00FB66BD">
        <w:rPr>
          <w:rFonts w:cstheme="minorHAnsi"/>
          <w:lang w:eastAsia="pl-PL"/>
        </w:rPr>
        <w:t xml:space="preserve">U z możliwością instalacji do </w:t>
      </w:r>
      <w:r>
        <w:rPr>
          <w:rFonts w:cstheme="minorHAnsi"/>
          <w:lang w:eastAsia="pl-PL"/>
        </w:rPr>
        <w:t>24</w:t>
      </w:r>
      <w:r w:rsidRPr="00FB66BD">
        <w:rPr>
          <w:rFonts w:cstheme="minorHAnsi"/>
          <w:lang w:eastAsia="pl-PL"/>
        </w:rPr>
        <w:t xml:space="preserve"> dysków </w:t>
      </w:r>
      <w:r>
        <w:rPr>
          <w:rFonts w:cstheme="minorHAnsi"/>
          <w:lang w:eastAsia="pl-PL"/>
        </w:rPr>
        <w:t>2</w:t>
      </w:r>
      <w:r w:rsidRPr="00FB66BD">
        <w:rPr>
          <w:rFonts w:cstheme="minorHAnsi"/>
          <w:lang w:eastAsia="pl-PL"/>
        </w:rPr>
        <w:t>.5" Hot-Plug z blokadą służącą do ochrony nieautoryzowanego dostępu do dysków twardych.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posiadać co najmniej 2 kontrolery macierzowe pracujące w trybie active-active i udostępniające jednocześnie dane blokowe. Wszystkie kontrolery muszą komunikować się między sobą bez stosowania dodatkowych przełączników lub koncentratorów.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posiadać minimum sumarycznie 32 GB pamięci cache. Pamięć zapisu musi być mirrorowana (kopie lustrzane) pomiędzy kontrolerami dyskowymi.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mieć możliwość obsługiwania dysków SSD, SAS i Nearline SAS. Macierz musi umożliwiać mieszanie napędów dyskowych SSD, SAS i NL SAS w obrębie pojedynczej półki dyskowej. Macierz musi obsługiwać dyski 2,5” i 3,5”. Macierz musi umożliwiać rozbudowę (bez wymiany kontrolerów macierzy), do co najmniej 100 dysków twardych.</w:t>
      </w:r>
    </w:p>
    <w:p w:rsidR="008D7D9B" w:rsidRPr="008D7D9B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8D7D9B">
        <w:rPr>
          <w:rFonts w:cstheme="minorHAnsi"/>
          <w:lang w:eastAsia="pl-PL"/>
        </w:rPr>
        <w:t>Macierz musi posiadać co najmniej 8 portów iSCSI SFP+/SFP28 25Gb/s (4 porty na kontroler). Należy również dostarczyć min. 8 sztuk przewodów iSCSI SFP+/SFP28 25Gb/s kompatybilnych z urządzeniem dedykowane przez producenta rozwiązania o długości minimum 2 m.</w:t>
      </w:r>
    </w:p>
    <w:p w:rsidR="008D7D9B" w:rsidRPr="0027315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27315D">
        <w:rPr>
          <w:rFonts w:cstheme="minorHAnsi"/>
          <w:lang w:eastAsia="pl-PL"/>
        </w:rPr>
        <w:t xml:space="preserve">Zainstalowane min. </w:t>
      </w:r>
      <w:r w:rsidR="0027315D" w:rsidRPr="0027315D">
        <w:rPr>
          <w:rFonts w:cstheme="minorHAnsi"/>
          <w:lang w:eastAsia="pl-PL"/>
        </w:rPr>
        <w:t>5</w:t>
      </w:r>
      <w:r w:rsidRPr="0027315D">
        <w:rPr>
          <w:rFonts w:cstheme="minorHAnsi"/>
          <w:lang w:eastAsia="pl-PL"/>
        </w:rPr>
        <w:t xml:space="preserve"> dysków Hot-Plug SAS SSD o prędkości min. 24 Gb/s o pojemności co najmniej 1,92 TB każdy skonfigurowane w RAID</w:t>
      </w:r>
      <w:r w:rsidR="0027315D" w:rsidRPr="0027315D">
        <w:rPr>
          <w:rFonts w:cstheme="minorHAnsi"/>
          <w:lang w:eastAsia="pl-PL"/>
        </w:rPr>
        <w:t xml:space="preserve">5 oraz min. </w:t>
      </w:r>
      <w:r w:rsidR="0027315D">
        <w:rPr>
          <w:rFonts w:cstheme="minorHAnsi"/>
          <w:lang w:eastAsia="pl-PL"/>
        </w:rPr>
        <w:t>8</w:t>
      </w:r>
      <w:r w:rsidR="0027315D" w:rsidRPr="0027315D">
        <w:rPr>
          <w:rFonts w:cstheme="minorHAnsi"/>
          <w:lang w:eastAsia="pl-PL"/>
        </w:rPr>
        <w:t xml:space="preserve"> dysków Hot-Plug SAS o prędkości min. </w:t>
      </w:r>
      <w:r w:rsidR="0027315D">
        <w:rPr>
          <w:rFonts w:cstheme="minorHAnsi"/>
          <w:lang w:eastAsia="pl-PL"/>
        </w:rPr>
        <w:t>12</w:t>
      </w:r>
      <w:r w:rsidR="0027315D" w:rsidRPr="0027315D">
        <w:rPr>
          <w:rFonts w:cstheme="minorHAnsi"/>
          <w:lang w:eastAsia="pl-PL"/>
        </w:rPr>
        <w:t xml:space="preserve"> Gb/s o pojemności co najmniej </w:t>
      </w:r>
      <w:r w:rsidR="0027315D">
        <w:rPr>
          <w:rFonts w:cstheme="minorHAnsi"/>
          <w:lang w:eastAsia="pl-PL"/>
        </w:rPr>
        <w:t>2</w:t>
      </w:r>
      <w:r w:rsidR="0027315D" w:rsidRPr="0027315D">
        <w:rPr>
          <w:rFonts w:cstheme="minorHAnsi"/>
          <w:lang w:eastAsia="pl-PL"/>
        </w:rPr>
        <w:t>,</w:t>
      </w:r>
      <w:r w:rsidR="0027315D">
        <w:rPr>
          <w:rFonts w:cstheme="minorHAnsi"/>
          <w:lang w:eastAsia="pl-PL"/>
        </w:rPr>
        <w:t>4</w:t>
      </w:r>
      <w:r w:rsidR="0027315D" w:rsidRPr="0027315D">
        <w:rPr>
          <w:rFonts w:cstheme="minorHAnsi"/>
          <w:lang w:eastAsia="pl-PL"/>
        </w:rPr>
        <w:t xml:space="preserve"> TB każdy skonfigurowane w RAID5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obsługiwać mechanizmy RAID zgodne z RAID1, RAID10, RAID5, RAID6 realizowane sprzętowo za pomocą dedykowanego układu, z możliwością dowolnej ich kombinacji w obrębie oferowanej macierzy i z wykorzystaniem wszystkich dysków (tzw. wide-striping).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definiowanie globalnych dysków Hot-spare oraz dedykowanie dysków Hot-spare do konkretnych grup RAID.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umożliwiać obsługę dysków różnej pojemności w ramach grupy dysków.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umożliwiać udostępnianie zasobów dyskowych do serwerów w trybie tradycyjnym, jak i w trybie typu Thin Provisioning. Macierz musi umożliwiać odzyskiwanie przestrzeni dyskowych po usuniętych danych w ramach wolumenów typu Thin. Proces odzyskiwania danych musi być automatyczny bez konieczności uruchamiania dodatkowych procesów na kontrolerach macierzowych (wymagana obsługa standardu T10 SCSI UNMAP).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posiadać funkcjonalność Tiering między dyskami SSD i SAS i między dyskami SAS i NL SAS. Tiering musi obejmować wszystkie woluminy w danej puli dyskowej.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lastRenderedPageBreak/>
        <w:t>Dyski SSD mogą być wykorzystane zarówno do uzyskania pojemności w warstwie wydajności lub na potrzeby zwiększenia pamięci podręcznej odczytu w celu przyspieszenia operacji losowego odczytu z jednej lub wielu warstw napędów mechanicznych.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dokonywania na żądanie tzw. migawkowej kopii danych (snapshot, point-in-time) w ramach macierzy za pomocą wewnętrznych kontrolerów macierzowych. Kopia migawkowa wykonuje się bez alokowania dodatkowej przestrzeni dyskowej na potrzeby kopii. Zajmowanie dodatkowej przestrzeni dyskowej następuje w momencie zmiany danych na dysku źródłowym lub na jego kopii.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dokonywanie na żądanie pełnej fizycznej kopii danych (clone) w ramach macierzy za pomocą wewnętrznych kontrolerów macierzowych.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dyskowa musi umożliwiać migrację danych bez przerywania do nich dostępu pomiędzy różnymi warstwami technologii dyskowych na poziomie części wolumenów logicznych (ang. Sub-LUN). Zmiany te muszą się odbywać wewnętrznymi mechanizmami macierzy. Funkcjonalność musi umożliwiać zdefiniowanie zasobu LUN, który fizycznie będzie znajdował się na co najmniej 3 typach dysków obsługiwanych przez macierz, a jego części będą realokowane na podstawie analizy ruchu w sposób automatyczny i transparentny (bez przerywania dostępu do danych) dla korzystających z tego wolumenu hostów. Zmiany te muszą się odbywać wewnętrznymi mechanizmami macierzy.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jednoczesne podłączenie wielu serwerów w trybie wysokiej dostępności (co najmniej dwoma ścieżkami).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wspierać podłączenie następujących systemów operacyjnych: Windows, RHEL, SLES, VMWare.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nie może posiadać pojedynczego punktu awarii, który powodowałby brak dostępu do danych. Musi być zapewniona pełna redundancja komponentów, w szczególności zdublowanie kontrolerów, zasilaczy i wentylatorów. Macierz musi umożliwiać wymianę elementów systemu w trybie „hot-swap”, a w szczególności takich, jak: dyski, kontrolery, zasilacze, wentylatory. Macierz musi mieć możliwość zasilania z dwu niezależnych źródeł zasilania – odporność na zanik zasilania jednej fazy lub awarię jednego z zasilaczy macierzy.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Jeżeli do obsługi powyższych funkcjonalności wymagane są dodatkowe licencje Wykonawca jest je zobowiązany dostarczyć w ramach niniejszego postępowania.</w:t>
      </w:r>
    </w:p>
    <w:p w:rsidR="008D7D9B" w:rsidRPr="00230FEF" w:rsidRDefault="008D7D9B" w:rsidP="009E0B02">
      <w:pPr>
        <w:pStyle w:val="Akapitzlist"/>
        <w:numPr>
          <w:ilvl w:val="0"/>
          <w:numId w:val="25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 xml:space="preserve">Jakość produktu i sposobu jego wykonania: Certyfikat ISO 9001 lub inny równoważny dokument poświadczający, że producent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opracował, wdrożył i certyfikował system zarządzania jakością; Certyfikat ISO 50001</w:t>
      </w:r>
      <w:r>
        <w:rPr>
          <w:color w:val="000000" w:themeColor="text1"/>
        </w:rPr>
        <w:t xml:space="preserve"> lub ISO 14001</w:t>
      </w:r>
      <w:r w:rsidRPr="000636DA">
        <w:rPr>
          <w:color w:val="000000" w:themeColor="text1"/>
        </w:rPr>
        <w:t xml:space="preserve"> lub inny równoważny dokument poświadczający, że producent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posiada system zarządzania energią, zmniejszający zużycie energii, wpływy na środowisko i zwiększający rentowność; Deklaracja zgodności CE lub inny równoważny dokument poświadczający, ze oferowan</w:t>
      </w:r>
      <w:r>
        <w:rPr>
          <w:color w:val="000000" w:themeColor="text1"/>
        </w:rPr>
        <w:t>a macierz</w:t>
      </w:r>
      <w:r w:rsidRPr="000636DA">
        <w:rPr>
          <w:color w:val="000000" w:themeColor="text1"/>
        </w:rPr>
        <w:t xml:space="preserve"> spełnia wszystkie zasadnicze wymagania zawarte w poszczególnych dyrektywach nowego podejścia przewidujących oznakowanie CE; Potwierdzenie spełnienia kryteriów środowiskowych, w tym zgodności z dyrektywą RoHS Unii Europejskiej o eliminacji substancji niebezpiecznych w postaci oświadczenia producenta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lub innego dokumentu potwierdzającego spełnienie kryteriów </w:t>
      </w:r>
      <w:r w:rsidRPr="00230FEF">
        <w:rPr>
          <w:color w:val="000000" w:themeColor="text1"/>
        </w:rPr>
        <w:t xml:space="preserve">środowiskowych w tym zgodności z dyrektywą RoHS Unii Europejskiej o eliminacji substancji niebezpiecznych. </w:t>
      </w:r>
      <w:r w:rsidRPr="00230FEF">
        <w:t>Zamawiający żąda załączenia do oferty przedmiotowych środków dowodowych - dokumentów potwierdzających spełnienie przez oferowaną macierz i jej producenta wymagań w zakresie określonym powyżej.</w:t>
      </w:r>
    </w:p>
    <w:p w:rsidR="008D7D9B" w:rsidRPr="00373051" w:rsidRDefault="008D7D9B" w:rsidP="009E0B02">
      <w:pPr>
        <w:pStyle w:val="Akapitzlist"/>
        <w:numPr>
          <w:ilvl w:val="0"/>
          <w:numId w:val="25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373051">
        <w:rPr>
          <w:rFonts w:cstheme="minorHAnsi"/>
          <w:lang w:eastAsia="pl-PL"/>
        </w:rPr>
        <w:lastRenderedPageBreak/>
        <w:t xml:space="preserve">Gwarancja: min. 60 miesięcy gwarancji producenta obejmująca wszystkie komponenty </w:t>
      </w:r>
      <w:r>
        <w:rPr>
          <w:rFonts w:cstheme="minorHAnsi"/>
          <w:lang w:eastAsia="pl-PL"/>
        </w:rPr>
        <w:t>macierzy</w:t>
      </w:r>
      <w:r w:rsidRPr="00373051">
        <w:rPr>
          <w:rFonts w:cstheme="minorHAnsi"/>
          <w:lang w:eastAsia="pl-PL"/>
        </w:rPr>
        <w:t xml:space="preserve"> wchodzące w skład oferowanej konfiguracji realizowanej w miejscu instalacji sprzętu z czasem reakcji serwisu do następnego dnia roboczego od przyjęcia zgłoszenia, w przypadku awarii dysków Zamawiający wymaga, aby dyski pozostały u Zamawiającego. Możliwość zgłaszania awarii w języku polskim poprzez ogólnopolską linię telefoniczną producenta oraz dedykowany portal techniczny producenta, dla obu kanałów w trybie ciągłym, tj. niezależnie od pory dnia, dni roboczych i dni wolnych od pracy. Zamawiający wymaga pojedynczego serwisowego punktu kontaktu dla całego rozwiązania Producenta (w tym także zaoferowanego oprogramowania) umożliwiającego komunikację w języku polskim. 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ocenę bezpieczeństwa cybernetycznego. Wszelkie naprawy mogą być realizowane przez osoby certyfikowane przez producenta, które po diagnostyce muszą z właściwym zestawem części do naprawy (potwierdzonym na etapie diagnostyki) rozpocząć naprawę w siedzibie Zamawiającego najpóźniej w następnym dniu roboczym (NBD) od zakończenia diagnostyki. W przypadku jeżeli serwis gwarancyjny urządzeń nie będzie realizowany bezpośrednio przez producenta urządzenia, wówczas firma serwisująca musi posiadać certyfikat ISO 9001 oraz ISO 27001 </w:t>
      </w:r>
      <w:r w:rsidRPr="00373051">
        <w:rPr>
          <w:color w:val="000000" w:themeColor="text1"/>
        </w:rPr>
        <w:t>lub inny równoważny dokument poświadczający</w:t>
      </w:r>
      <w:r w:rsidRPr="00373051">
        <w:rPr>
          <w:rFonts w:cstheme="minorHAnsi"/>
          <w:lang w:eastAsia="pl-PL"/>
        </w:rPr>
        <w:t>, że usługi serwisu świadczone będą zgodnie z zasadami wynikającymi z tych norm oraz firma serwisująca musi posiadać autoryzacje producenta urządzeń, w takim przypadku Wykonawca jest zobowiązany dostarczyć wraz z ofertą dokumenty potwierdzające spełnienie przez firmę serwisującą przedmiotowego wymogu. Możliwość przedłużenia gwarancji producenta do 72 miesięcy.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9" w:name="_Toc210373440"/>
      <w:r w:rsidRPr="00324EF9">
        <w:t>Zakup UPS (1 szt.).</w:t>
      </w:r>
      <w:bookmarkEnd w:id="9"/>
    </w:p>
    <w:p w:rsidR="00324EF9" w:rsidRPr="00940B65" w:rsidRDefault="00324EF9" w:rsidP="00324EF9">
      <w:pPr>
        <w:spacing w:after="0" w:line="276" w:lineRule="auto"/>
        <w:jc w:val="both"/>
      </w:pPr>
      <w:r w:rsidRPr="00940B65">
        <w:t>Minimalne parametry techniczne urządzenia: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Typ obudowy: </w:t>
      </w:r>
      <w:r>
        <w:rPr>
          <w:rFonts w:cstheme="minorHAnsi"/>
          <w:lang w:eastAsia="pl-PL"/>
        </w:rPr>
        <w:t>umożliwiająca umieszczenie w szafie RACK a także zapewniająca ustawienie wolnostojące.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Moc pozorna: min. </w:t>
      </w:r>
      <w:r>
        <w:rPr>
          <w:rFonts w:cstheme="minorHAnsi"/>
          <w:lang w:eastAsia="pl-PL"/>
        </w:rPr>
        <w:t>3000 VA.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Moc rzeczywista: min. </w:t>
      </w:r>
      <w:r>
        <w:rPr>
          <w:rFonts w:cstheme="minorHAnsi"/>
          <w:lang w:eastAsia="pl-PL"/>
        </w:rPr>
        <w:t>3000 W.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Architektura UPSa: line-interactive lub online.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Typ przebiegu: sinusoidalny.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Liczba i rodzaj gniazdek z utrzymaniem zasilania: </w:t>
      </w:r>
      <w:r>
        <w:rPr>
          <w:rFonts w:cstheme="minorHAnsi"/>
          <w:lang w:eastAsia="pl-PL"/>
        </w:rPr>
        <w:t>min.</w:t>
      </w:r>
      <w:r w:rsidRPr="004B29FD">
        <w:rPr>
          <w:rFonts w:cstheme="minorHAnsi"/>
          <w:lang w:eastAsia="pl-PL"/>
        </w:rPr>
        <w:t xml:space="preserve"> 8x IEC320 C13</w:t>
      </w:r>
      <w:r>
        <w:rPr>
          <w:rFonts w:cstheme="minorHAnsi"/>
          <w:lang w:eastAsia="pl-PL"/>
        </w:rPr>
        <w:t>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Typ gniazda wejściowego: C14 lub C20.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Czas podtrzymania dla obciążenia 100%: min. </w:t>
      </w:r>
      <w:r>
        <w:rPr>
          <w:rFonts w:cstheme="minorHAnsi"/>
          <w:lang w:eastAsia="pl-PL"/>
        </w:rPr>
        <w:t>3</w:t>
      </w:r>
      <w:r w:rsidRPr="004B29FD">
        <w:rPr>
          <w:rFonts w:cstheme="minorHAnsi"/>
          <w:lang w:eastAsia="pl-PL"/>
        </w:rPr>
        <w:t xml:space="preserve"> min.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Czas podtrzymania przy obciążeniu 50%: min. </w:t>
      </w:r>
      <w:r>
        <w:rPr>
          <w:rFonts w:cstheme="minorHAnsi"/>
          <w:lang w:eastAsia="pl-PL"/>
        </w:rPr>
        <w:t>10</w:t>
      </w:r>
      <w:r w:rsidRPr="004B29FD">
        <w:rPr>
          <w:rFonts w:cstheme="minorHAnsi"/>
          <w:lang w:eastAsia="pl-PL"/>
        </w:rPr>
        <w:t xml:space="preserve"> min.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Zabezpieczenia: p</w:t>
      </w:r>
      <w:r w:rsidRPr="004B29FD">
        <w:rPr>
          <w:rFonts w:cstheme="minorHAnsi"/>
          <w:lang w:eastAsia="pl-PL"/>
        </w:rPr>
        <w:t>rzeciwprzepięciowe, przeciwzwarciowe, przeciwprzeciążeniowe</w:t>
      </w:r>
      <w:r>
        <w:rPr>
          <w:rFonts w:cstheme="minorHAnsi"/>
          <w:lang w:eastAsia="pl-PL"/>
        </w:rPr>
        <w:t>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Wyświetlacz LCD</w:t>
      </w:r>
      <w:r>
        <w:rPr>
          <w:rFonts w:cstheme="minorHAnsi"/>
          <w:lang w:eastAsia="pl-PL"/>
        </w:rPr>
        <w:t xml:space="preserve"> lub diody LED sygnalizujące stan pracy urządzenia.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Alarmy dźwiękowe urządzenia sygnalizujące stan pracy urządzenia w zakresie określonych przez producenta zdarzeń.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Interfejsy: min. 1 x USB, 1 x </w:t>
      </w:r>
      <w:r>
        <w:rPr>
          <w:rFonts w:cstheme="minorHAnsi"/>
          <w:lang w:eastAsia="pl-PL"/>
        </w:rPr>
        <w:t>RJ45.</w:t>
      </w:r>
    </w:p>
    <w:p w:rsidR="00324EF9" w:rsidRPr="00230FEF" w:rsidRDefault="00324EF9" w:rsidP="009E0B02">
      <w:pPr>
        <w:pStyle w:val="Akapitzlist"/>
        <w:numPr>
          <w:ilvl w:val="0"/>
          <w:numId w:val="37"/>
        </w:numPr>
        <w:spacing w:line="276" w:lineRule="auto"/>
        <w:jc w:val="both"/>
      </w:pPr>
      <w:r w:rsidRPr="004F0501">
        <w:rPr>
          <w:rFonts w:cstheme="minorHAnsi"/>
          <w:lang w:eastAsia="pl-PL"/>
        </w:rPr>
        <w:t xml:space="preserve">Jakość produktu i sposobu jego wykonania: </w:t>
      </w:r>
      <w:r w:rsidRPr="006D06B6">
        <w:rPr>
          <w:color w:val="000000" w:themeColor="text1"/>
        </w:rPr>
        <w:t xml:space="preserve">Deklaracja zgodności CE lub inny równoważny dokument poświadczający, że oferowany </w:t>
      </w:r>
      <w:r>
        <w:rPr>
          <w:color w:val="000000" w:themeColor="text1"/>
        </w:rPr>
        <w:t>UPS</w:t>
      </w:r>
      <w:r w:rsidRPr="006D06B6">
        <w:rPr>
          <w:color w:val="000000" w:themeColor="text1"/>
        </w:rPr>
        <w:t xml:space="preserve"> spełnia wszystkie zasadnicze wymagania zawarte w poszczególnych dyrektywach nowego podejścia przewidujących oznakowanie CE</w:t>
      </w:r>
      <w:r>
        <w:rPr>
          <w:color w:val="000000" w:themeColor="text1"/>
        </w:rPr>
        <w:t xml:space="preserve">. </w:t>
      </w:r>
      <w:r w:rsidRPr="00AA0713">
        <w:rPr>
          <w:color w:val="000000" w:themeColor="text1"/>
        </w:rPr>
        <w:lastRenderedPageBreak/>
        <w:t>Potwierdzenie spełnienia kryteriów środowiskowych, w tym zgodności z dyrektywą RoHS Unii Europejskiej o eliminacji substancji niebezpiecznych w postaci deklaracji RoHS dla produktu lub oświadczenia producenta UPS lub innego dokumentu potwierdzającego spełnienie kryteriów środowiskowych w tym zgodności z dyrektywą RoHS Unii Europejskiej o eliminacji substancji niebezpiecznych</w:t>
      </w:r>
      <w:r>
        <w:t xml:space="preserve">. </w:t>
      </w:r>
      <w:r w:rsidRPr="00230FEF">
        <w:rPr>
          <w:rFonts w:cstheme="minorHAnsi"/>
          <w:lang w:eastAsia="pl-PL"/>
        </w:rPr>
        <w:t>Zamawiający żąda załączenia do oferty przedmiotowych środków dowodowych - dokumentów potwierdzających spełnienie przez oferowany UPS wymagań w zakresie określonym powyżej.</w:t>
      </w:r>
      <w:r w:rsidRPr="00230FEF">
        <w:t xml:space="preserve"> </w:t>
      </w:r>
    </w:p>
    <w:p w:rsidR="00324EF9" w:rsidRPr="00A370E2" w:rsidRDefault="00324EF9" w:rsidP="009E0B02">
      <w:pPr>
        <w:pStyle w:val="Akapitzlist"/>
        <w:numPr>
          <w:ilvl w:val="0"/>
          <w:numId w:val="37"/>
        </w:numPr>
        <w:spacing w:line="276" w:lineRule="auto"/>
        <w:jc w:val="both"/>
        <w:rPr>
          <w:color w:val="000000" w:themeColor="text1"/>
        </w:rPr>
      </w:pPr>
      <w:r w:rsidRPr="00A370E2">
        <w:rPr>
          <w:color w:val="000000" w:themeColor="text1"/>
        </w:rPr>
        <w:t>Gwarancja producenta: min. 24 miesiące.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10" w:name="_Toc210373441"/>
      <w:r w:rsidRPr="00324EF9">
        <w:t>Zakup UTM (1 szt.).</w:t>
      </w:r>
      <w:bookmarkEnd w:id="10"/>
    </w:p>
    <w:p w:rsidR="00E73451" w:rsidRPr="00A9141C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  <w:r w:rsidRPr="00810E47">
        <w:rPr>
          <w:rFonts w:ascii="Calibri" w:hAnsi="Calibri" w:cs="Calibri"/>
        </w:rPr>
        <w:t xml:space="preserve">W ramach działania przewiduje się zakup </w:t>
      </w:r>
      <w:r>
        <w:rPr>
          <w:rFonts w:ascii="Calibri" w:hAnsi="Calibri" w:cs="Calibri"/>
        </w:rPr>
        <w:t xml:space="preserve">urządzenia UTM wraz z licencjami subskrypcyjnymi dla Urzędu Gminy w Siemieniu. </w:t>
      </w:r>
      <w:r w:rsidRPr="00810E47">
        <w:rPr>
          <w:rFonts w:ascii="Calibri" w:hAnsi="Calibri" w:cs="Calibri"/>
        </w:rPr>
        <w:t xml:space="preserve">Subskrypcja musi umożliwić Zamawiającemu korzystanie z aktualnych baz funkcji ochronnych producenta i serwisów oraz obejmować kontrolę aplikacji, IPS, antywirus, antyspam, web filtering. W ramach przedmiotu zamówienia Wykonawca musi zapewnić także wsparcie techniczne, które może być tylko </w:t>
      </w:r>
      <w:r w:rsidRPr="00E4451B">
        <w:rPr>
          <w:rFonts w:ascii="Calibri" w:hAnsi="Calibri" w:cs="Calibri"/>
        </w:rPr>
        <w:t xml:space="preserve">realizowane przez producenta, dystrybutora, bądź oficjalnego partnera dystrybutora. Subskrypcja dla urządzenia UTM obejmująca wszystkie wymagania wskazane powyżej musi być dostarczona </w:t>
      </w:r>
      <w:r w:rsidRPr="00E4451B">
        <w:t xml:space="preserve">na </w:t>
      </w:r>
      <w:r w:rsidRPr="00187CAD">
        <w:t xml:space="preserve">okres </w:t>
      </w:r>
      <w:r w:rsidRPr="000E795C">
        <w:t xml:space="preserve">do dnia </w:t>
      </w:r>
      <w:r>
        <w:t>30</w:t>
      </w:r>
      <w:r w:rsidRPr="000E795C">
        <w:t>.06.2026 r.</w:t>
      </w:r>
      <w:r>
        <w:t xml:space="preserve"> </w:t>
      </w:r>
      <w:r w:rsidRPr="00187CAD">
        <w:t>niezależnie</w:t>
      </w:r>
      <w:r>
        <w:t xml:space="preserve"> od oferowanych modeli licencjonowania producenta.</w:t>
      </w:r>
    </w:p>
    <w:p w:rsidR="00E73451" w:rsidRPr="00810E47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</w:p>
    <w:p w:rsidR="00E73451" w:rsidRPr="00810E47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Minimalne wymagania techniczne urządzenia: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Przepustowość Firewall: min. </w:t>
      </w:r>
      <w:r w:rsidR="006457B7">
        <w:t>28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Musi obsługiwać min. </w:t>
      </w:r>
      <w:r w:rsidR="006457B7">
        <w:t>3 miliony</w:t>
      </w:r>
      <w:r w:rsidRPr="00940B65">
        <w:t xml:space="preserve"> jednoczesnych połączeń.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Musi obsługiwać co najmniej 200 połączeń VPN.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IPsec VPN min. </w:t>
      </w:r>
      <w:r w:rsidR="006457B7">
        <w:t>25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skanowania ruchu w celu ochrony przed atakami (zarówno client side jak i server side w ramach modułu IPS) dla ruchu Enterprise Traffic Mix - minimum </w:t>
      </w:r>
      <w:r w:rsidR="006457B7">
        <w:t>5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skanowania ruchu typu Enterprise Mix z włączonymi funkcjami: IPS, Application Control, Antywirus - minimum </w:t>
      </w:r>
      <w:r w:rsidR="006457B7">
        <w:t>2</w:t>
      </w:r>
      <w:r w:rsidRPr="00940B65">
        <w:t xml:space="preserve"> Gbps.</w:t>
      </w:r>
    </w:p>
    <w:p w:rsidR="006457B7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systemu w zakresie inspekcji komunikacji szyfrowanej SSL dla ruchu http – </w:t>
      </w:r>
      <w:r w:rsidR="006457B7" w:rsidRPr="00940B65">
        <w:t xml:space="preserve">minimum </w:t>
      </w:r>
      <w:r w:rsidR="006457B7">
        <w:t>2</w:t>
      </w:r>
      <w:r w:rsidR="006457B7"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Automatyczna aktualizacja plików sygnatur antywirusowych.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Skanowanie wszystkich plików skompresowanych (zip, tar, rar, gzip) z wieloma poziomami kompresji.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Możliwość wsparcia IPS z poziomu urządzenia poprzez dodatkowe subskrypcje.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Automatyczna aktualizacja sygnatur IPS.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IPS musi dokonać analizy warstwy aplikacji, a także mieć możliwość ustawienia poziomu nasilenia ataku, który ma generować zdalne alarmy.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Wsparcie dla wszystkich głównych protokołów: HTTP, FTP, SMTP, POP3.</w:t>
      </w:r>
    </w:p>
    <w:p w:rsidR="00E73451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Ilość interfejsów sieciowych: minimum </w:t>
      </w:r>
      <w:r w:rsidR="006457B7">
        <w:t>8</w:t>
      </w:r>
      <w:r w:rsidRPr="00940B65">
        <w:t xml:space="preserve"> port</w:t>
      </w:r>
      <w:r>
        <w:t>ów</w:t>
      </w:r>
      <w:r w:rsidRPr="00940B65">
        <w:t xml:space="preserve"> Gigabit Ethernet RJ-45</w:t>
      </w:r>
      <w:r w:rsidR="006457B7">
        <w:t>, min. 2 porty 10 GE SFP+.</w:t>
      </w:r>
    </w:p>
    <w:p w:rsidR="006457B7" w:rsidRDefault="006457B7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>
        <w:t>Inne interfejsy: min. 1 port USB.</w:t>
      </w:r>
    </w:p>
    <w:p w:rsidR="006457B7" w:rsidRPr="00940B65" w:rsidRDefault="006457B7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>
        <w:t>Wbudowany fabrycznie dysk twardy SSD o pojemności min. 100 GB.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Wsparcie VLAN: Musi posiadać minimum 200 sieci VLAN.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Administracja urządzenia musi być możliwa poprzez graficzny interfejs zarządzania.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lastRenderedPageBreak/>
        <w:t>W ramach dostarczonego systemu ochrony muszą być realizowane wszystkie poniższe funkcje. Mogą one być zrealizowane w postaci osobnych, komercyjnych platform sprzętowych lub programowych: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Kontrola dostępu - zapora ogniowa klasy Stateful Inspection.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Aplikacji. 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Poufność transmisji danych - połączenia szyfrowane IPSec VPN oraz SSL VPN.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Ochrona przed malware – co najmniej dla protokołów SMTP, POP3, HTTP, FTP, HTTPS oparta o mechanizmy sztucznej inteligencji.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Ochrona przed atakami - Intrusion Prevention System.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stron WWW. 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Kontrola zawartości poczty – Antyspam dla protokołów SMTP, POP3.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Zarządzanie pasmem (QoS, Traffic shaping).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Dwuskładnikowe uwierzytelnianie z wykorzystaniem tokenów sprzętowych lub programowych. W ramach postępowania powinny zostać dostarczone co najmniej 2 tokeny sprzętowe lub programowe, które będą zastosowane do dwuskładnikowego uwierzytelnienia administratorów lub w ramach połączeń VPN typu client-to-site.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Analiza ruchu szyfrowanego protokołem SSL.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Analiza ruchu szyfrowanego protokołem SSH.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Producent rozwiązania musi dostarczać oprogramowanie klienckie VPN, które umożliwia realizację połączeń IPSec VPN</w:t>
      </w:r>
      <w:r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Zapewnienie obsługi Routingu statycznego, Policy Based Routingu, protokołów dynamicznego routingu w oparciu o protokoły: RIPv2, OSPF, BGP oraz PIM.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Firewall musi umożliwiać zarządzanie pasmem poprzez określenie: maksymalnej, gwarantowanej ilości pasma, oznaczanie DSCP oraz wskazanie priorytetu ruchu.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Musi istnieć możliwość określania pasma dla poszczególnych aplikacji.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zapewniać możliwość zarządzania pasmem dla wybranych kategorii URL.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Silnik antywirusowy musi umożliwiać skanowanie ruchu w obu kierunkach komunikacji dla protokołów działających na niestandardowych portach.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umożliwiać skanowanie archiwów, w tym co najmniej: zip, RAR.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dysponować sygnaturami do ochrony urządzeń mobilnych (co najmniej dla systemu operacyjnego Android).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współpracować z dedykowaną platformą typu Sandbox lub usługą typu Sandbox realizowaną w chmurze. W ramach postępowania musi zostać dostarczona platforma typu Sandbox wraz z niezbędnymi serwisami lub licencja upoważniająca do korzystania z usługi typu Sandbox w chmurze.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umożliwiać usuwanie aktywnej zawartości plików PDF oraz Microsoft Office bez konieczności blokowania transferu całych plików.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Ochrona IPS powinna opierać się co najmniej na analizie sygnaturowej oraz na analizie anomalii w protokołach sieciowych.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powinien chronić przed atakami na aplikacje pracujące na niestandardowych portach.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zapewniać wykrywanie anomalii protokołów i ruchu sieciowego, realizując tym samym podstawową ochronę przed atakami typu DoS oraz DDoS.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Wykrywanie i blokowanie komunikacji C&amp;C do sieci botnet.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Administrator systemu musi mieć możliwość definiowania własnych wyjątków oraz własnych sygnatur.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lastRenderedPageBreak/>
        <w:t>Rozwiązanie powinno umożliwiać wysyłanie alarmów przez SNMP lub e-mail.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Urządzenie powinno mieć możliwość generowania raportów.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Elementy systemu bezpieczeństwa muszą mieć możliwość zarządzania lokalnego z wykorzystaniem protokołów: HTTPS oraz SSH, jak i powinny mieć możliwość współpracy z dedykowanymi platformami centralnego zarządzania i monitorowania.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Powinna istnieć możliwość włączenia mechanizmów uwierzytelniania dwuskładnikowego dla dostępu administracyjnego.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współpracować z rozwiązaniami monitorowania poprzez protokoły SNMP w wersjach 2c, 3 oraz umożliwiać przekazywanie statystyk ruchu za pomocą protokołów netflow lub sflow.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Element systemu pełniący funkcję Firewal musi posiadać wbudowane narzędzia diagnostyczne, przynajmniej: ping, traceroute, podglądu pakietów, monitorowanie procesowania sesji oraz stanu sesji firewall.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Logowanie musi obejmować zdarzenia dotyczące wszystkich modułów sieciowych i bezpieczeństwa oferowanego systemu.</w:t>
      </w:r>
    </w:p>
    <w:p w:rsidR="00E73451" w:rsidRPr="000E795C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 ramach postępowania powinny zostać dostarczone licencje upoważniające do korzystania z aktualnych baz funkcji ochronnych producenta i serwisów. Powinny one obejmować następujące </w:t>
      </w:r>
      <w:r w:rsidRPr="000E795C">
        <w:t xml:space="preserve">elementy: Kontrola Aplikacji, IPS, Antywirus, Antyspam, Antymalware, Web Filtering w okresie do dnia </w:t>
      </w:r>
      <w:r>
        <w:rPr>
          <w:color w:val="000000" w:themeColor="text1"/>
        </w:rPr>
        <w:t>30</w:t>
      </w:r>
      <w:r w:rsidRPr="000E795C">
        <w:rPr>
          <w:color w:val="000000" w:themeColor="text1"/>
        </w:rPr>
        <w:t>.06.2026 r.</w:t>
      </w:r>
    </w:p>
    <w:p w:rsidR="00E73451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0E795C">
        <w:t xml:space="preserve">Gwarancja producenta do dnia </w:t>
      </w:r>
      <w:r>
        <w:rPr>
          <w:color w:val="000000" w:themeColor="text1"/>
        </w:rPr>
        <w:t>30</w:t>
      </w:r>
      <w:r w:rsidRPr="000E795C">
        <w:rPr>
          <w:color w:val="000000" w:themeColor="text1"/>
        </w:rPr>
        <w:t xml:space="preserve">.06.2026 r. </w:t>
      </w:r>
      <w:r w:rsidRPr="000E795C">
        <w:t>Gwarancja</w:t>
      </w:r>
      <w:r w:rsidRPr="00940B65">
        <w:t xml:space="preserve"> powinna obejmować również możliwość wymiany urządzenia na nowe w przypadku wady urządzenia UTM.</w:t>
      </w:r>
    </w:p>
    <w:p w:rsidR="00324EF9" w:rsidRPr="00324EF9" w:rsidRDefault="00324EF9" w:rsidP="00324EF9"/>
    <w:p w:rsidR="00632C71" w:rsidRDefault="00C20324" w:rsidP="00632C71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11" w:name="_Toc210373442"/>
      <w:r>
        <w:t>Opis</w:t>
      </w:r>
      <w:r w:rsidR="00632C71">
        <w:t xml:space="preserve"> przedmiotu zamówienia części nr 2.</w:t>
      </w:r>
      <w:bookmarkEnd w:id="11"/>
    </w:p>
    <w:p w:rsidR="00632C71" w:rsidRDefault="00632C71" w:rsidP="00632C71">
      <w:pPr>
        <w:pStyle w:val="Nagwek1"/>
        <w:numPr>
          <w:ilvl w:val="1"/>
          <w:numId w:val="1"/>
        </w:numPr>
        <w:spacing w:before="100" w:beforeAutospacing="1" w:after="120" w:line="276" w:lineRule="auto"/>
      </w:pPr>
      <w:bookmarkStart w:id="12" w:name="_Toc210373443"/>
      <w:r>
        <w:t>Wymagania ogólne.</w:t>
      </w:r>
      <w:bookmarkEnd w:id="12"/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>Dostarczone oprogramowanie musi być wolne od wad prawnych i fizycznych oraz nienosząc</w:t>
      </w:r>
      <w:r w:rsidR="008032CC">
        <w:t>e</w:t>
      </w:r>
      <w:r>
        <w:t xml:space="preserve"> oznak użytkowania. 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 xml:space="preserve">Dostarczone oprogramowanie musi być fabrycznie nowe, musi pochodzić z oficjalnego kanału sprzedaży producenta na rynek polski, pochodzić z seryjnej produkcji z uwzględnieniem opcji konfiguracyjnych przewidzianych przez producenta dla oferowanego oprogramowania. 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 xml:space="preserve">Niedopuszczalne są produkty prototypowe, </w:t>
      </w:r>
      <w:r w:rsidR="00F820D2">
        <w:t xml:space="preserve">oprogramowanie </w:t>
      </w:r>
      <w:r>
        <w:t>nie mo</w:t>
      </w:r>
      <w:r w:rsidR="00F820D2">
        <w:t>że</w:t>
      </w:r>
      <w:r>
        <w:t xml:space="preserve"> znajdować się na liście „end-of-sale”, „end-of-support”, „end-of-life” producenta lub innych listach prowadzonych przez producentów produktów świadczących o tym, że produkt został wycofany ze sprzedaży, wsparcie dla niego zostało zakończone lub producent </w:t>
      </w:r>
      <w:r w:rsidRPr="007B67E9">
        <w:t xml:space="preserve">zaprzestaje wydawania aktualizacji, poprawek bezpieczeństwa czy też napraw dla </w:t>
      </w:r>
      <w:r>
        <w:t>produktu.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 xml:space="preserve">Wykonawca zapewni dostawę </w:t>
      </w:r>
      <w:r w:rsidR="00F820D2">
        <w:t xml:space="preserve">oprogramowania </w:t>
      </w:r>
      <w:r>
        <w:t xml:space="preserve">do wskazanej lokalizacji w siedzibie Zamawiającego. 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 xml:space="preserve">Prace instalacyjne będzie można realizować wyłącznie w terminach uzgodnionych z Zamawiającym. 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lastRenderedPageBreak/>
        <w:t>Wykonawca będzie zobowiązany do złożenia dokumentacji powykonawczej, zawierającej w szczególności wszystkie dane dostępu do urządzeń i oprogramowania, które będą wykorzystywane podczas instalacji i konfiguracji sprzętu i oprogramowania.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 xml:space="preserve">Dla dostaw oprogramowania </w:t>
      </w:r>
      <w:r w:rsidRPr="009C3FC4">
        <w:t xml:space="preserve">Zamawiający wymaga fabrycznie nowego </w:t>
      </w:r>
      <w:r>
        <w:t xml:space="preserve">oprogramowania </w:t>
      </w:r>
      <w:r w:rsidRPr="009C3FC4">
        <w:t>(nieużywanego nigdy wcześniej), w wersji z certyfikatem autentyczności dla każdej licencji</w:t>
      </w:r>
      <w:r>
        <w:t>, o ile producent oferowanego oprogramowania stosuje certyfikaty autentyczności. Wykonawca zobowiązany jest do dostarczenia fabrycznie nowego oprogramowania, nieużywanego oraz nigdy wcześniej nieaktywowanego oraz pochodzącego z legalnego źródła sprzedaży. W przypadku oprogramowania posiadającego fizyczny nośnik naklejka hologramowa winna być zabezpieczona przed możliwością odczytania klucza za pomocą zabezpieczeń stosowanych przez producenta, o ile producent oferowanego oprogramowania stosuje takie zabezpieczenia. Zamawiający zastrzega możliwość weryfikacji dostarczonego oprogramowania na etapie oceny ofert jak i na etapie dostawy pod kątem legalności oprogramowania bezpośrednio u producenta oprogramowania. Zamawiający zastrzega możliwość żądania od Wykonawcy na etapie dostawy przedstawienia dokumentów dotyczących zakupu oprogramowania w autoryzowanym kanale dystrybucyjnym producenta oprogramowania.</w:t>
      </w:r>
    </w:p>
    <w:p w:rsidR="00632C71" w:rsidRPr="00045DE6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 w:rsidRPr="00045DE6">
        <w:t>Wymagania instalacyjne i wdrożeniowe dla dostarczonego oprogramowania:</w:t>
      </w:r>
    </w:p>
    <w:p w:rsidR="00632C71" w:rsidRPr="00844DBF" w:rsidRDefault="00632C71" w:rsidP="009E0B02">
      <w:pPr>
        <w:pStyle w:val="Akapitzlist"/>
        <w:numPr>
          <w:ilvl w:val="0"/>
          <w:numId w:val="28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 xml:space="preserve">Instalacja ma odbyć się na komputerach oraz serwerach </w:t>
      </w:r>
      <w:r>
        <w:rPr>
          <w:color w:val="000000" w:themeColor="text1"/>
        </w:rPr>
        <w:t>wskazanych</w:t>
      </w:r>
      <w:r w:rsidRPr="00844DBF">
        <w:rPr>
          <w:color w:val="000000" w:themeColor="text1"/>
        </w:rPr>
        <w:t xml:space="preserve"> przez Zamawiającego</w:t>
      </w:r>
      <w:r>
        <w:rPr>
          <w:color w:val="000000" w:themeColor="text1"/>
        </w:rPr>
        <w:t>, a w przypadku jeżeli dostarczone oprogramowanie działa w modelu rozwiązania chmurowego to Wykonawca jest zobligowany do konfiguracji oprogramowania w chmurze Wykonawcy bądź Producenta oferowanego oprogramowania.</w:t>
      </w:r>
    </w:p>
    <w:p w:rsidR="00632C71" w:rsidRDefault="00632C71" w:rsidP="009E0B02">
      <w:pPr>
        <w:pStyle w:val="Akapitzlist"/>
        <w:numPr>
          <w:ilvl w:val="0"/>
          <w:numId w:val="28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Zamawiający dopuszcza instalację i wdrożenie zdalne</w:t>
      </w:r>
      <w:r>
        <w:rPr>
          <w:color w:val="000000" w:themeColor="text1"/>
        </w:rPr>
        <w:t xml:space="preserve"> przy wykorzystaniu narzędzia Wykonawcy, z zastrzeżeniem, że Wykonawca jest zobowiązany dostarczyć oprogramowanie do zdalnej pracy umożliwiające szyfrowanie połączeń oraz nagrywanie sesji serwisowych.</w:t>
      </w:r>
    </w:p>
    <w:p w:rsidR="00632C71" w:rsidRPr="00844DBF" w:rsidRDefault="00632C71" w:rsidP="009E0B02">
      <w:pPr>
        <w:pStyle w:val="Akapitzlist"/>
        <w:numPr>
          <w:ilvl w:val="0"/>
          <w:numId w:val="28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 przypadku jeżeli dotyczy, </w:t>
      </w:r>
      <w:r w:rsidRPr="00844DBF">
        <w:rPr>
          <w:color w:val="000000" w:themeColor="text1"/>
        </w:rPr>
        <w:t xml:space="preserve">Wykonawca wykona wdrożenie na wybranym serwerze/maszynie wirtualnej wskazanym przez Zamawiającego oraz na stanowiskach wskazanych przez Zamawiającego. </w:t>
      </w:r>
    </w:p>
    <w:p w:rsidR="00632C71" w:rsidRPr="00844DBF" w:rsidRDefault="00632C71" w:rsidP="009E0B02">
      <w:pPr>
        <w:pStyle w:val="Akapitzlist"/>
        <w:numPr>
          <w:ilvl w:val="0"/>
          <w:numId w:val="28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Wykonawca</w:t>
      </w:r>
      <w:r>
        <w:rPr>
          <w:color w:val="000000" w:themeColor="text1"/>
        </w:rPr>
        <w:t xml:space="preserve">, pomimo zapewnienia serwisu producenta zobowiązany </w:t>
      </w:r>
      <w:r w:rsidRPr="00844DBF">
        <w:rPr>
          <w:color w:val="000000" w:themeColor="text1"/>
        </w:rPr>
        <w:t xml:space="preserve">będzie </w:t>
      </w:r>
      <w:r>
        <w:rPr>
          <w:color w:val="000000" w:themeColor="text1"/>
        </w:rPr>
        <w:t xml:space="preserve">do </w:t>
      </w:r>
      <w:r w:rsidRPr="00844DBF">
        <w:rPr>
          <w:color w:val="000000" w:themeColor="text1"/>
        </w:rPr>
        <w:t>udziela</w:t>
      </w:r>
      <w:r>
        <w:rPr>
          <w:color w:val="000000" w:themeColor="text1"/>
        </w:rPr>
        <w:t>nia</w:t>
      </w:r>
      <w:r w:rsidRPr="00844DBF">
        <w:rPr>
          <w:color w:val="000000" w:themeColor="text1"/>
        </w:rPr>
        <w:t xml:space="preserve"> pomocy technicznej Zamawiającemu przez okres gwarancji.</w:t>
      </w:r>
    </w:p>
    <w:p w:rsidR="00632C71" w:rsidRPr="00844DBF" w:rsidRDefault="00632C71" w:rsidP="009E0B02">
      <w:pPr>
        <w:pStyle w:val="Akapitzlist"/>
        <w:numPr>
          <w:ilvl w:val="0"/>
          <w:numId w:val="28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Usługa wsparcia wdrożenia obejmuje: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przeprowadzenie </w:t>
      </w:r>
      <w:r w:rsidRPr="00844DBF">
        <w:rPr>
          <w:color w:val="000000" w:themeColor="text1"/>
        </w:rPr>
        <w:t>analiz</w:t>
      </w:r>
      <w:r>
        <w:rPr>
          <w:color w:val="000000" w:themeColor="text1"/>
        </w:rPr>
        <w:t>y</w:t>
      </w:r>
      <w:r w:rsidRPr="00844DBF">
        <w:rPr>
          <w:color w:val="000000" w:themeColor="text1"/>
        </w:rPr>
        <w:t xml:space="preserve"> przedwdrożeniow</w:t>
      </w:r>
      <w:r>
        <w:rPr>
          <w:color w:val="000000" w:themeColor="text1"/>
        </w:rPr>
        <w:t>ej</w:t>
      </w:r>
      <w:r w:rsidRPr="00844DBF">
        <w:rPr>
          <w:color w:val="000000" w:themeColor="text1"/>
        </w:rPr>
        <w:t>,</w:t>
      </w:r>
    </w:p>
    <w:p w:rsidR="00632C71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 xml:space="preserve">pomoc przy instalacji silnika bazy danych </w:t>
      </w:r>
      <w:r>
        <w:rPr>
          <w:color w:val="000000" w:themeColor="text1"/>
        </w:rPr>
        <w:t>–</w:t>
      </w:r>
      <w:r w:rsidRPr="00844DBF">
        <w:rPr>
          <w:color w:val="000000" w:themeColor="text1"/>
        </w:rPr>
        <w:t xml:space="preserve"> jeżeli będzie wymagana instalacja,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rejestracja produktu – jeżeli wymagana,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instalację oprogramowania: na stacji roboczej</w:t>
      </w:r>
      <w:r>
        <w:rPr>
          <w:color w:val="000000" w:themeColor="text1"/>
        </w:rPr>
        <w:t xml:space="preserve"> lub serwerze – jeżeli dotyczy</w:t>
      </w:r>
      <w:r w:rsidRPr="00844DBF">
        <w:rPr>
          <w:color w:val="000000" w:themeColor="text1"/>
        </w:rPr>
        <w:t>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dystrybucję oprogramowania na wybranych stacjach roboczych</w:t>
      </w:r>
      <w:r>
        <w:rPr>
          <w:color w:val="000000" w:themeColor="text1"/>
        </w:rPr>
        <w:t xml:space="preserve"> – jeżeli dotyczy</w:t>
      </w:r>
      <w:r w:rsidRPr="00844DBF">
        <w:rPr>
          <w:color w:val="000000" w:themeColor="text1"/>
        </w:rPr>
        <w:t>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konfigurację oprogramowania,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optymalizację ustawień pod wymogi sieciowe i sprzętowe Zamawiającego,</w:t>
      </w:r>
    </w:p>
    <w:p w:rsidR="00632C71" w:rsidRPr="006B2565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6B2565">
        <w:rPr>
          <w:color w:val="000000" w:themeColor="text1"/>
        </w:rPr>
        <w:t>szkolenie administratorów z zakresu pracy z programem</w:t>
      </w:r>
      <w:r>
        <w:rPr>
          <w:color w:val="000000" w:themeColor="text1"/>
        </w:rPr>
        <w:t>,</w:t>
      </w:r>
    </w:p>
    <w:p w:rsidR="00632C71" w:rsidRPr="00844DBF" w:rsidRDefault="00632C71" w:rsidP="009E0B02">
      <w:pPr>
        <w:pStyle w:val="Akapitzlist"/>
        <w:numPr>
          <w:ilvl w:val="0"/>
          <w:numId w:val="29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w uzgodnionym terminie z Zamawiającym zostanie przeprowadzane kontrolne połącznie zdalne w celu weryfikacji ustawień oraz poprawienia konfiguracji.</w:t>
      </w:r>
    </w:p>
    <w:p w:rsidR="00632C71" w:rsidRPr="008A49AD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 w:rsidRPr="008A49AD">
        <w:t>Proces współpracy</w:t>
      </w:r>
      <w:r>
        <w:t xml:space="preserve"> między Wykonawcą a Zamawiającym w celu wdrożenia oprogramowania – wymagania minimalne:</w:t>
      </w:r>
    </w:p>
    <w:p w:rsidR="00632C71" w:rsidRPr="004D3D8D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Wykonawca przygotuje projekt techniczny realizacji koncepcji, uwzględniający dobre praktyki i rekomendacje eksploatacyjne publikowane przez producentów wdrażanego</w:t>
      </w:r>
      <w:r>
        <w:rPr>
          <w:color w:val="000000" w:themeColor="text1"/>
        </w:rPr>
        <w:t xml:space="preserve"> </w:t>
      </w:r>
      <w:r w:rsidRPr="004D3D8D">
        <w:rPr>
          <w:color w:val="000000" w:themeColor="text1"/>
        </w:rPr>
        <w:t xml:space="preserve">oprogramowania, po wykonaniu analizy istniejącego u Zamawiającego rozwiązania wraz </w:t>
      </w:r>
      <w:r w:rsidRPr="004D3D8D">
        <w:rPr>
          <w:color w:val="000000" w:themeColor="text1"/>
        </w:rPr>
        <w:lastRenderedPageBreak/>
        <w:t>z koncepcją uwzględniające obecne u Zamawiającego uwarunkowania organizacyjne i sprzętowe, łącznie zwane dalej projektem technicznym. W projekcie technicznym muszą być zawarte:</w:t>
      </w:r>
    </w:p>
    <w:p w:rsidR="00632C71" w:rsidRPr="00A4250B" w:rsidRDefault="00632C71" w:rsidP="009E0B02">
      <w:pPr>
        <w:pStyle w:val="Akapitzlist"/>
        <w:numPr>
          <w:ilvl w:val="0"/>
          <w:numId w:val="31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Pr="00A4250B">
        <w:rPr>
          <w:color w:val="000000" w:themeColor="text1"/>
        </w:rPr>
        <w:t>cenariusze testowe, procedury oraz wzory raportów testów,</w:t>
      </w:r>
    </w:p>
    <w:p w:rsidR="00632C71" w:rsidRPr="00A4250B" w:rsidRDefault="00632C71" w:rsidP="009E0B02">
      <w:pPr>
        <w:pStyle w:val="Akapitzlist"/>
        <w:numPr>
          <w:ilvl w:val="0"/>
          <w:numId w:val="31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szczegółowy harmonogram realizacji prac </w:t>
      </w:r>
      <w:r>
        <w:rPr>
          <w:color w:val="000000" w:themeColor="text1"/>
        </w:rPr>
        <w:t xml:space="preserve">wdrożeniowych i </w:t>
      </w:r>
      <w:r w:rsidRPr="00A4250B">
        <w:rPr>
          <w:color w:val="000000" w:themeColor="text1"/>
        </w:rPr>
        <w:t>migracyjnych, uwzględniający specyfikę organizacji Zamawiającego,</w:t>
      </w:r>
    </w:p>
    <w:p w:rsidR="00632C71" w:rsidRPr="00A4250B" w:rsidRDefault="00632C71" w:rsidP="009E0B02">
      <w:pPr>
        <w:pStyle w:val="Akapitzlist"/>
        <w:numPr>
          <w:ilvl w:val="0"/>
          <w:numId w:val="31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opis koncepcji </w:t>
      </w:r>
      <w:r w:rsidRPr="00A4250B">
        <w:rPr>
          <w:color w:val="000000" w:themeColor="text1"/>
        </w:rPr>
        <w:t xml:space="preserve">realizacji </w:t>
      </w:r>
      <w:r>
        <w:rPr>
          <w:color w:val="000000" w:themeColor="text1"/>
        </w:rPr>
        <w:t>prac,</w:t>
      </w:r>
    </w:p>
    <w:p w:rsidR="00632C71" w:rsidRDefault="00632C71" w:rsidP="009E0B02">
      <w:pPr>
        <w:pStyle w:val="Akapitzlist"/>
        <w:numPr>
          <w:ilvl w:val="0"/>
          <w:numId w:val="31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>zalecenia przedwdrożeniowe dla Zamawiającego, jeżeli będą wymagane.</w:t>
      </w:r>
    </w:p>
    <w:p w:rsidR="00632C71" w:rsidRPr="004D3D8D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Akceptacja projektu technicznego wraz z procedurami oraz wzorami raportów z testów będzie podlegała następującej procedurze:</w:t>
      </w:r>
    </w:p>
    <w:p w:rsidR="00632C71" w:rsidRPr="00A4250B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Wykonawca przekaże do akceptacji Zamawiającego, drogą elektroniczną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z procedurami oraz wzorami raportów z testów,</w:t>
      </w:r>
      <w:r w:rsidRPr="00A4250B" w:rsidDel="00061FE5">
        <w:rPr>
          <w:color w:val="000000" w:themeColor="text1"/>
        </w:rPr>
        <w:t xml:space="preserve"> </w:t>
      </w:r>
      <w:r w:rsidRPr="00A4250B">
        <w:rPr>
          <w:color w:val="000000" w:themeColor="text1"/>
        </w:rPr>
        <w:t xml:space="preserve">w terminie nie dłuższym niż </w:t>
      </w:r>
      <w:r w:rsidR="004C433B">
        <w:rPr>
          <w:color w:val="000000" w:themeColor="text1"/>
        </w:rPr>
        <w:t>10</w:t>
      </w:r>
      <w:r w:rsidRPr="00A4250B">
        <w:rPr>
          <w:color w:val="000000" w:themeColor="text1"/>
        </w:rPr>
        <w:t xml:space="preserve"> dni </w:t>
      </w:r>
      <w:r w:rsidR="004C433B">
        <w:rPr>
          <w:color w:val="000000" w:themeColor="text1"/>
        </w:rPr>
        <w:t>kalendarzowych</w:t>
      </w:r>
      <w:r>
        <w:rPr>
          <w:color w:val="000000" w:themeColor="text1"/>
        </w:rPr>
        <w:t xml:space="preserve"> </w:t>
      </w:r>
      <w:r w:rsidRPr="00A4250B">
        <w:rPr>
          <w:color w:val="000000" w:themeColor="text1"/>
        </w:rPr>
        <w:t>od dnia zawarcia umowy,</w:t>
      </w:r>
    </w:p>
    <w:p w:rsidR="00632C71" w:rsidRPr="00A4250B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nie dłuższym niż </w:t>
      </w:r>
      <w:r w:rsidR="005A2966"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dostarczenia przez Wykonawcę kompletnych dokumentów, poinformuje Wykonawcę o ich akceptacji lub konieczności wprowadzenia zmian,</w:t>
      </w:r>
    </w:p>
    <w:p w:rsidR="00632C71" w:rsidRPr="00A4250B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wszystkie uwagi do dokumentów zgłoszone przez Zamawiającego zostaną wprowadzone przez Wykonawcę, w terminie nie dłuższym niż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ich otrzymania,</w:t>
      </w:r>
    </w:p>
    <w:p w:rsidR="00632C71" w:rsidRPr="00A4250B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powtórnego dostarczenia przez Wykonawcę poprawionych dokumentów, poinformuje Wykonawcę o ich akceptacji lub konieczności wprowadzenia zmian,</w:t>
      </w:r>
    </w:p>
    <w:p w:rsidR="00632C71" w:rsidRPr="00A4250B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 przypadku nieuwzględnienia uwag Zamawiającego, Zamawiający zastrzega sobie prawo do wskazania ostatecznego terminu dostarczenia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rojektu technicznego wraz z procedurami oraz wzorami raportów z testów</w:t>
      </w:r>
      <w:r>
        <w:rPr>
          <w:color w:val="000000" w:themeColor="text1"/>
        </w:rPr>
        <w:t>,</w:t>
      </w:r>
    </w:p>
    <w:p w:rsidR="00632C71" w:rsidRDefault="00632C71" w:rsidP="009E0B02">
      <w:pPr>
        <w:pStyle w:val="Akapitzlist"/>
        <w:numPr>
          <w:ilvl w:val="0"/>
          <w:numId w:val="32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zatwierdzony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procedurami zostaną przekazane Zamawiającemu w 1 egzemplarzu oraz w formie elektronicznej na pendrive, w postaci plików do edycji i PDF.</w:t>
      </w:r>
    </w:p>
    <w:p w:rsidR="00632C71" w:rsidRPr="00A32A99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Wykonawca zrealizuje wdrożenia i migracje zgodnie z zakresem prac i projektem technicznym.</w:t>
      </w:r>
    </w:p>
    <w:p w:rsidR="00632C71" w:rsidRPr="00A32A99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>przeprowadzi testy akceptacyjne wdrożon</w:t>
      </w:r>
      <w:r>
        <w:rPr>
          <w:color w:val="000000" w:themeColor="text1"/>
        </w:rPr>
        <w:t>ych</w:t>
      </w:r>
      <w:r w:rsidRPr="00A32A99">
        <w:rPr>
          <w:color w:val="000000" w:themeColor="text1"/>
        </w:rPr>
        <w:t xml:space="preserve"> rozwiąza</w:t>
      </w:r>
      <w:r>
        <w:rPr>
          <w:color w:val="000000" w:themeColor="text1"/>
        </w:rPr>
        <w:t>ń</w:t>
      </w:r>
      <w:r w:rsidRPr="00A32A99">
        <w:rPr>
          <w:color w:val="000000" w:themeColor="text1"/>
        </w:rPr>
        <w:t>.</w:t>
      </w:r>
    </w:p>
    <w:p w:rsidR="00632C71" w:rsidRPr="00A32A99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32A99">
        <w:rPr>
          <w:color w:val="000000" w:themeColor="text1"/>
        </w:rPr>
        <w:t xml:space="preserve">Wykonawca opracuje i przedstawi raport z testów. W przypadku zrealizowania scenariusza testowego z wynikiem negatywnym, Wykonawca przedstawi nowe rozwiązanie wadliwego elementu systemu i przeprowadzi ponowny test wg scenariusza, w terminie wyznaczonym przez Zamawiającego, dochowując terminu wykonania Umowy. Raport z testów </w:t>
      </w:r>
      <w:r>
        <w:rPr>
          <w:color w:val="000000" w:themeColor="text1"/>
        </w:rPr>
        <w:t xml:space="preserve">powinien </w:t>
      </w:r>
      <w:r w:rsidRPr="00A32A99">
        <w:rPr>
          <w:color w:val="000000" w:themeColor="text1"/>
        </w:rPr>
        <w:t>zawierać listę przeprowadzonych testów wraz z ich wynikiem</w:t>
      </w:r>
      <w:r>
        <w:rPr>
          <w:color w:val="000000" w:themeColor="text1"/>
        </w:rPr>
        <w:t>.</w:t>
      </w:r>
    </w:p>
    <w:p w:rsidR="00632C71" w:rsidRDefault="00632C71" w:rsidP="009E0B02">
      <w:pPr>
        <w:pStyle w:val="Akapitzlist"/>
        <w:numPr>
          <w:ilvl w:val="0"/>
          <w:numId w:val="3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 xml:space="preserve">opracuje </w:t>
      </w:r>
      <w:r>
        <w:rPr>
          <w:color w:val="000000" w:themeColor="text1"/>
        </w:rPr>
        <w:t>d</w:t>
      </w:r>
      <w:r w:rsidRPr="00A32A99">
        <w:rPr>
          <w:color w:val="000000" w:themeColor="text1"/>
        </w:rPr>
        <w:t>okumentację powykonawczą oraz procedury administracyjne i</w:t>
      </w:r>
      <w:r>
        <w:rPr>
          <w:color w:val="000000" w:themeColor="text1"/>
        </w:rPr>
        <w:t> </w:t>
      </w:r>
      <w:r w:rsidRPr="00A32A99">
        <w:rPr>
          <w:color w:val="000000" w:themeColor="text1"/>
        </w:rPr>
        <w:t>eksploatacyjne w zakresie uzgodnionym z Zamawiającym, w tym:</w:t>
      </w:r>
      <w:r>
        <w:rPr>
          <w:color w:val="000000" w:themeColor="text1"/>
        </w:rPr>
        <w:t xml:space="preserve"> d</w:t>
      </w:r>
      <w:r w:rsidRPr="00A32A99">
        <w:rPr>
          <w:color w:val="000000" w:themeColor="text1"/>
        </w:rPr>
        <w:t>okumentację wdrożeniową,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 xml:space="preserve">rocedury </w:t>
      </w:r>
      <w:r>
        <w:rPr>
          <w:color w:val="000000" w:themeColor="text1"/>
        </w:rPr>
        <w:t>o</w:t>
      </w:r>
      <w:r w:rsidRPr="00A32A99">
        <w:rPr>
          <w:color w:val="000000" w:themeColor="text1"/>
        </w:rPr>
        <w:t>peracyjne,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>rocedury „Disaster Recovery”</w:t>
      </w:r>
      <w:r>
        <w:rPr>
          <w:color w:val="000000" w:themeColor="text1"/>
        </w:rPr>
        <w:t>. Akceptacja dokumentacji powykonawczej będzie przebiegała zgodnie z zasadami określonymi dla akceptacji projektu technicznego.</w:t>
      </w:r>
    </w:p>
    <w:p w:rsidR="00632C71" w:rsidRPr="005A2966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 w:rsidRPr="005A2966">
        <w:t>Wymagania licencyjne dla dostarczonego oprogramowania:</w:t>
      </w:r>
    </w:p>
    <w:p w:rsidR="005A2966" w:rsidRPr="00AC2B1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C2B1F">
        <w:rPr>
          <w:color w:val="000000" w:themeColor="text1"/>
        </w:rPr>
        <w:t xml:space="preserve">Licencjobiorcą licencji </w:t>
      </w:r>
      <w:r w:rsidR="00491BD9">
        <w:rPr>
          <w:color w:val="000000" w:themeColor="text1"/>
        </w:rPr>
        <w:t xml:space="preserve">będzie Gmina </w:t>
      </w:r>
      <w:r w:rsidR="00324EF9">
        <w:rPr>
          <w:color w:val="000000" w:themeColor="text1"/>
        </w:rPr>
        <w:t>Siemień.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Zamawiający dopuszcza udzielenie licencji w wersji papierowej i/lub elektronicznej.</w:t>
      </w:r>
      <w:r w:rsidRPr="00077C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 przypadku jeżeli producent oprogramowania nie wystawia licencji w zakresie </w:t>
      </w:r>
      <w:r>
        <w:rPr>
          <w:color w:val="000000" w:themeColor="text1"/>
        </w:rPr>
        <w:lastRenderedPageBreak/>
        <w:t>oferowanego oprogramowania Wykonawca powinien dostarczyć stosowne oświadczenie producenta oprogramowania bądź jego dystrybutora.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 xml:space="preserve">Licencje muszą </w:t>
      </w:r>
      <w:r>
        <w:rPr>
          <w:color w:val="000000" w:themeColor="text1"/>
        </w:rPr>
        <w:t>obowiązywać</w:t>
      </w:r>
      <w:r w:rsidRPr="00FC6748">
        <w:rPr>
          <w:color w:val="000000" w:themeColor="text1"/>
        </w:rPr>
        <w:t xml:space="preserve"> </w:t>
      </w:r>
      <w:r w:rsidRPr="00D223C7">
        <w:t xml:space="preserve">do </w:t>
      </w:r>
      <w:r w:rsidRPr="005158BB">
        <w:t xml:space="preserve">dnia </w:t>
      </w:r>
      <w:r w:rsidR="00601587">
        <w:t>30</w:t>
      </w:r>
      <w:r w:rsidR="007C4DBE" w:rsidRPr="000D39FF">
        <w:t>.0</w:t>
      </w:r>
      <w:r w:rsidR="00601587">
        <w:t>6</w:t>
      </w:r>
      <w:r w:rsidR="007C4DBE" w:rsidRPr="000D39FF">
        <w:t>.2026 r.</w:t>
      </w:r>
      <w:r w:rsidR="007C4DBE">
        <w:t xml:space="preserve"> </w:t>
      </w:r>
      <w:r w:rsidRPr="00804186">
        <w:rPr>
          <w:color w:val="000000" w:themeColor="text1"/>
        </w:rPr>
        <w:t>ni</w:t>
      </w:r>
      <w:r w:rsidRPr="00FC6748">
        <w:rPr>
          <w:color w:val="000000" w:themeColor="text1"/>
        </w:rPr>
        <w:t>ezależnie</w:t>
      </w:r>
      <w:r>
        <w:rPr>
          <w:color w:val="000000" w:themeColor="text1"/>
        </w:rPr>
        <w:t xml:space="preserve"> od modeli dystrybucji poszczególnych producentów oferowanego oprogramowania.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Oferowane licencje muszą pozwalać na użytkowanie oprogramowania zgodnie z przepisami prawa.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Licencja oprogramowania nie może ograniczać prawa licencjobiorcy do przeniesienia oprogramowania na inny serwer</w:t>
      </w:r>
      <w:r>
        <w:rPr>
          <w:color w:val="000000" w:themeColor="text1"/>
        </w:rPr>
        <w:t>/komputer.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Licencja na oprogramowanie nie może w żaden sposób ograniczać sposobu pracy użytkowników końcowych (np. praca w sieci LAN, praca zdalna poprzez Internet). Użytkownik może pracować w dowolny dostępny technologicznie sposób.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Licencja oprogramowania nie może ograniczać prawa licencjobiorcy do wykonania kopii bezpieczeństwa oprogramowania w ilości, którą uzna za stosowną.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Licencja oprogramowania nie może ograniczać prawa licencjobiorcy do instalacji użytkowania oprogramowania na serwerach zapasowych uruchamianych w przypadku awarii serwerów podstawowych.</w:t>
      </w:r>
    </w:p>
    <w:p w:rsidR="00632C71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 xml:space="preserve">Licencja oprogramowania nie może ograniczać prawa licencjobiorcy do korzystania z oprogramowania na dowolnym </w:t>
      </w:r>
      <w:r>
        <w:rPr>
          <w:color w:val="000000" w:themeColor="text1"/>
        </w:rPr>
        <w:t>urządzeniu</w:t>
      </w:r>
      <w:r w:rsidRPr="00844DBF">
        <w:rPr>
          <w:color w:val="000000" w:themeColor="text1"/>
        </w:rPr>
        <w:t xml:space="preserve"> klienckim (licencja nie może być przypisana do komputera/urządzenia).</w:t>
      </w:r>
    </w:p>
    <w:p w:rsidR="00632C71" w:rsidRPr="00844DBF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Licencja oprogramowania</w:t>
      </w:r>
      <w:r w:rsidRPr="00291AF4">
        <w:rPr>
          <w:color w:val="000000" w:themeColor="text1"/>
        </w:rPr>
        <w:t xml:space="preserve"> nie może limitować wielkości przechowywanych danych oraz możliwości wyszukiwania informacji z</w:t>
      </w:r>
      <w:r>
        <w:rPr>
          <w:color w:val="000000" w:themeColor="text1"/>
        </w:rPr>
        <w:t>e</w:t>
      </w:r>
      <w:r w:rsidRPr="00291AF4">
        <w:rPr>
          <w:color w:val="000000" w:themeColor="text1"/>
        </w:rPr>
        <w:t xml:space="preserve"> zgromadzonych danych.</w:t>
      </w:r>
    </w:p>
    <w:p w:rsidR="00632C71" w:rsidRPr="005B2D8D" w:rsidRDefault="00632C71" w:rsidP="009E0B02">
      <w:pPr>
        <w:pStyle w:val="Akapitzlist"/>
        <w:numPr>
          <w:ilvl w:val="0"/>
          <w:numId w:val="3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844DBF">
        <w:rPr>
          <w:color w:val="000000" w:themeColor="text1"/>
        </w:rPr>
        <w:t>Wykonawca zapewni gwarancję producenta oprogramowania, która obejmie gwarancję aktualizacji oprogramowania do najnowszej wersji oprogramowania w okresie objętym gwarancją.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 w:rsidRPr="005B2D8D">
        <w:t xml:space="preserve">Wymagania </w:t>
      </w:r>
      <w:r>
        <w:t>gwarancyjne</w:t>
      </w:r>
      <w:r w:rsidRPr="005B2D8D">
        <w:t xml:space="preserve"> </w:t>
      </w:r>
      <w:r>
        <w:t xml:space="preserve">i serwisowe </w:t>
      </w:r>
      <w:r w:rsidRPr="005B2D8D">
        <w:t>dla dostarczonego oprogramowania</w:t>
      </w:r>
      <w:r>
        <w:t xml:space="preserve"> w formie licencji czasowych lub subskrypcyjnych</w:t>
      </w:r>
      <w:r w:rsidRPr="005B2D8D">
        <w:t>:</w:t>
      </w:r>
    </w:p>
    <w:p w:rsidR="00632C71" w:rsidRPr="00AB0174" w:rsidRDefault="00632C71" w:rsidP="009E0B02">
      <w:pPr>
        <w:pStyle w:val="Akapitzlist"/>
        <w:numPr>
          <w:ilvl w:val="0"/>
          <w:numId w:val="34"/>
        </w:numPr>
        <w:spacing w:before="100" w:beforeAutospacing="1" w:after="120" w:line="276" w:lineRule="auto"/>
        <w:ind w:right="72"/>
        <w:jc w:val="both"/>
      </w:pPr>
      <w:r w:rsidRPr="00AB0174">
        <w:t xml:space="preserve">Gwarancja producenta musi zostać zapewniona przez Wykonawcę na oferowane oprogramowanie </w:t>
      </w:r>
      <w:r w:rsidRPr="005158BB">
        <w:t xml:space="preserve">do dnia </w:t>
      </w:r>
      <w:r w:rsidR="00601587">
        <w:t>30</w:t>
      </w:r>
      <w:r w:rsidR="00601587" w:rsidRPr="000D39FF">
        <w:t>.0</w:t>
      </w:r>
      <w:r w:rsidR="00601587">
        <w:t>6</w:t>
      </w:r>
      <w:r w:rsidR="00601587" w:rsidRPr="000D39FF">
        <w:t>.2026 r.</w:t>
      </w:r>
    </w:p>
    <w:p w:rsidR="00632C71" w:rsidRDefault="00632C71" w:rsidP="009E0B02">
      <w:pPr>
        <w:pStyle w:val="Akapitzlist"/>
        <w:numPr>
          <w:ilvl w:val="0"/>
          <w:numId w:val="34"/>
        </w:numPr>
        <w:spacing w:before="100" w:beforeAutospacing="1" w:after="120" w:line="276" w:lineRule="auto"/>
        <w:ind w:right="72"/>
        <w:jc w:val="both"/>
      </w:pPr>
      <w:r w:rsidRPr="00317AF1">
        <w:t xml:space="preserve">W ramach gwarancji Zamawiający ma prawo zgłaszać błędy w </w:t>
      </w:r>
      <w:r>
        <w:t>o</w:t>
      </w:r>
      <w:r w:rsidRPr="00317AF1">
        <w:t>programowaniu do serwisu producenta</w:t>
      </w:r>
      <w:r>
        <w:t xml:space="preserve"> lub jego dystrybutora.</w:t>
      </w:r>
    </w:p>
    <w:p w:rsidR="00632C71" w:rsidRPr="00D223C7" w:rsidRDefault="00632C71" w:rsidP="009E0B02">
      <w:pPr>
        <w:pStyle w:val="Akapitzlist"/>
        <w:numPr>
          <w:ilvl w:val="0"/>
          <w:numId w:val="34"/>
        </w:numPr>
        <w:spacing w:before="100" w:beforeAutospacing="1" w:after="120" w:line="276" w:lineRule="auto"/>
        <w:ind w:right="72"/>
        <w:jc w:val="both"/>
      </w:pPr>
      <w:r>
        <w:t xml:space="preserve">Serwis producenta musi zostać zapewniony przez </w:t>
      </w:r>
      <w:r w:rsidRPr="00D223C7">
        <w:t xml:space="preserve">Wykonawcę do dnia </w:t>
      </w:r>
      <w:r w:rsidR="00601587">
        <w:t>30</w:t>
      </w:r>
      <w:r w:rsidR="00601587" w:rsidRPr="000D39FF">
        <w:t>.0</w:t>
      </w:r>
      <w:r w:rsidR="00601587">
        <w:t>6</w:t>
      </w:r>
      <w:r w:rsidR="00601587" w:rsidRPr="000D39FF">
        <w:t>.2026 r.</w:t>
      </w:r>
    </w:p>
    <w:p w:rsidR="00632C71" w:rsidRDefault="00632C71" w:rsidP="009E0B02">
      <w:pPr>
        <w:pStyle w:val="Akapitzlist"/>
        <w:numPr>
          <w:ilvl w:val="0"/>
          <w:numId w:val="34"/>
        </w:numPr>
        <w:spacing w:before="100" w:beforeAutospacing="1" w:after="120" w:line="276" w:lineRule="auto"/>
        <w:ind w:right="72"/>
        <w:jc w:val="both"/>
      </w:pPr>
      <w:r w:rsidRPr="00E26A24">
        <w:t xml:space="preserve">Serwis polega na </w:t>
      </w:r>
      <w:r>
        <w:t>ś</w:t>
      </w:r>
      <w:r w:rsidRPr="00E26A24">
        <w:t xml:space="preserve">wiadczeniu usługi wsparcia technicznego udzielonego przez producenta lub </w:t>
      </w:r>
      <w:r>
        <w:t>a</w:t>
      </w:r>
      <w:r w:rsidRPr="00E26A24">
        <w:t xml:space="preserve">utoryzowanego </w:t>
      </w:r>
      <w:r>
        <w:t>d</w:t>
      </w:r>
      <w:r w:rsidRPr="00E26A24">
        <w:t xml:space="preserve">ystrybutora </w:t>
      </w:r>
      <w:r>
        <w:t>p</w:t>
      </w:r>
      <w:r w:rsidRPr="00E26A24">
        <w:t xml:space="preserve">roducenta w języku polskim </w:t>
      </w:r>
      <w:r>
        <w:t>i objąć musi minimum:</w:t>
      </w:r>
    </w:p>
    <w:p w:rsidR="00632C71" w:rsidRDefault="00632C71" w:rsidP="009E0B02">
      <w:pPr>
        <w:pStyle w:val="Akapitzlist"/>
        <w:numPr>
          <w:ilvl w:val="0"/>
          <w:numId w:val="35"/>
        </w:numPr>
        <w:spacing w:before="100" w:beforeAutospacing="1" w:after="120" w:line="276" w:lineRule="auto"/>
        <w:ind w:right="72"/>
        <w:jc w:val="both"/>
      </w:pPr>
      <w:r>
        <w:t>dostęp do najnowszych wersji oprogramowania,</w:t>
      </w:r>
    </w:p>
    <w:p w:rsidR="00632C71" w:rsidRDefault="00632C71" w:rsidP="009E0B02">
      <w:pPr>
        <w:pStyle w:val="Akapitzlist"/>
        <w:numPr>
          <w:ilvl w:val="0"/>
          <w:numId w:val="35"/>
        </w:numPr>
        <w:spacing w:before="100" w:beforeAutospacing="1" w:after="120" w:line="276" w:lineRule="auto"/>
        <w:ind w:right="72"/>
        <w:jc w:val="both"/>
      </w:pPr>
      <w:r>
        <w:t>w</w:t>
      </w:r>
      <w:r w:rsidRPr="00E26A24">
        <w:t xml:space="preserve">sparcie telefoniczne </w:t>
      </w:r>
      <w:r>
        <w:t xml:space="preserve">w zakresie oferowanego oprogramowania </w:t>
      </w:r>
      <w:r w:rsidRPr="00E26A24">
        <w:t xml:space="preserve">zespołu </w:t>
      </w:r>
      <w:r>
        <w:t>inżynierów technicznych,</w:t>
      </w:r>
    </w:p>
    <w:p w:rsidR="00632C71" w:rsidRDefault="00632C71" w:rsidP="009E0B02">
      <w:pPr>
        <w:pStyle w:val="Akapitzlist"/>
        <w:numPr>
          <w:ilvl w:val="0"/>
          <w:numId w:val="35"/>
        </w:numPr>
        <w:spacing w:before="100" w:beforeAutospacing="1" w:after="120" w:line="276" w:lineRule="auto"/>
        <w:ind w:right="72"/>
        <w:jc w:val="both"/>
      </w:pPr>
      <w:r>
        <w:t>wsparcie</w:t>
      </w:r>
      <w:r w:rsidRPr="00E26A24">
        <w:t xml:space="preserve"> w prawidłow</w:t>
      </w:r>
      <w:r>
        <w:t>ym</w:t>
      </w:r>
      <w:r w:rsidRPr="00E26A24">
        <w:t xml:space="preserve"> i zgodn</w:t>
      </w:r>
      <w:r>
        <w:t>ym</w:t>
      </w:r>
      <w:r w:rsidRPr="00E26A24">
        <w:t xml:space="preserve"> z wymaganiami producenta </w:t>
      </w:r>
      <w:r>
        <w:t>użytkowaniu oprogramowania,</w:t>
      </w:r>
    </w:p>
    <w:p w:rsidR="00632C71" w:rsidRDefault="00632C71" w:rsidP="009E0B02">
      <w:pPr>
        <w:pStyle w:val="Akapitzlist"/>
        <w:numPr>
          <w:ilvl w:val="0"/>
          <w:numId w:val="35"/>
        </w:numPr>
        <w:spacing w:before="100" w:beforeAutospacing="1" w:after="120" w:line="276" w:lineRule="auto"/>
        <w:ind w:right="72"/>
        <w:jc w:val="both"/>
      </w:pPr>
      <w:r>
        <w:t>przyjmowanie i realizacja zgłoszeń serwisowych,</w:t>
      </w:r>
    </w:p>
    <w:p w:rsidR="00632C71" w:rsidRDefault="00632C71" w:rsidP="009E0B02">
      <w:pPr>
        <w:pStyle w:val="Akapitzlist"/>
        <w:numPr>
          <w:ilvl w:val="0"/>
          <w:numId w:val="35"/>
        </w:numPr>
        <w:spacing w:before="100" w:beforeAutospacing="1" w:after="120" w:line="276" w:lineRule="auto"/>
        <w:ind w:right="72"/>
        <w:jc w:val="both"/>
      </w:pPr>
      <w:r>
        <w:t>doradztwo techniczne w zakresie konfiguracji i optymalizacji oprogramowania,</w:t>
      </w:r>
    </w:p>
    <w:p w:rsidR="00632C71" w:rsidRDefault="00632C71" w:rsidP="00632C71">
      <w:pPr>
        <w:spacing w:after="120" w:line="276" w:lineRule="auto"/>
        <w:ind w:left="1620" w:right="72"/>
        <w:jc w:val="both"/>
      </w:pPr>
      <w:r>
        <w:t>w przypadku jeżeli w dalszej części niniejszego dokumentu zdefiniowano wymogi serwisu lub gwarancji w innym zakresie powyższe wymogi są obowiązujące i należy potraktować jako podstawowe, precyzowane przez dodatkowe wymagania opisane w dalszej części dokumentu.</w:t>
      </w:r>
    </w:p>
    <w:p w:rsidR="002D0307" w:rsidRDefault="002D0307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lastRenderedPageBreak/>
        <w:t>Szkolenia w zakresie dostarczonego oprogramowania – wymagania minimalne</w:t>
      </w:r>
      <w:r w:rsidRPr="00075331">
        <w:t>.</w:t>
      </w:r>
    </w:p>
    <w:p w:rsidR="002D0307" w:rsidRP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2D0307">
        <w:rPr>
          <w:color w:val="000000" w:themeColor="text1"/>
        </w:rPr>
        <w:t>Szkolenia muszą dotyczyć każdego oprogramowania odrębnie.</w:t>
      </w:r>
    </w:p>
    <w:p w:rsid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Szkolenia</w:t>
      </w:r>
      <w:r w:rsidRPr="009B43B9">
        <w:rPr>
          <w:color w:val="000000" w:themeColor="text1"/>
        </w:rPr>
        <w:t xml:space="preserve"> będą prowadzone w języku polskim </w:t>
      </w:r>
      <w:r>
        <w:rPr>
          <w:color w:val="000000" w:themeColor="text1"/>
        </w:rPr>
        <w:t xml:space="preserve">w siedzibie Zamawiającego </w:t>
      </w:r>
      <w:r w:rsidRPr="009B43B9">
        <w:rPr>
          <w:color w:val="000000" w:themeColor="text1"/>
        </w:rPr>
        <w:t>i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obejmą zakresem m.in.:  </w:t>
      </w:r>
      <w:r>
        <w:rPr>
          <w:color w:val="000000" w:themeColor="text1"/>
        </w:rPr>
        <w:t>u</w:t>
      </w:r>
      <w:r w:rsidRPr="009B43B9">
        <w:rPr>
          <w:color w:val="000000" w:themeColor="text1"/>
        </w:rPr>
        <w:t xml:space="preserve">żytkowane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</w:t>
      </w:r>
      <w:r>
        <w:rPr>
          <w:color w:val="000000" w:themeColor="text1"/>
        </w:rPr>
        <w:t>e; b</w:t>
      </w:r>
      <w:r w:rsidRPr="009B43B9">
        <w:rPr>
          <w:color w:val="000000" w:themeColor="text1"/>
        </w:rPr>
        <w:t xml:space="preserve">udowę, architekturę i konfigurację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ozwiązania</w:t>
      </w:r>
      <w:r>
        <w:rPr>
          <w:color w:val="000000" w:themeColor="text1"/>
        </w:rPr>
        <w:t xml:space="preserve">; </w:t>
      </w:r>
      <w:r w:rsidRPr="009B43B9">
        <w:rPr>
          <w:color w:val="000000" w:themeColor="text1"/>
        </w:rPr>
        <w:t xml:space="preserve">administrowanie wdrożonym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ozwiązaniem</w:t>
      </w:r>
      <w:r>
        <w:rPr>
          <w:color w:val="000000" w:themeColor="text1"/>
        </w:rPr>
        <w:t>.</w:t>
      </w:r>
    </w:p>
    <w:p w:rsid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Szkolenia </w:t>
      </w:r>
      <w:r w:rsidRPr="009B43B9">
        <w:rPr>
          <w:color w:val="000000" w:themeColor="text1"/>
        </w:rPr>
        <w:t xml:space="preserve">stanowiskowe zostaną przeprowadzone przez </w:t>
      </w:r>
      <w:r>
        <w:rPr>
          <w:color w:val="000000" w:themeColor="text1"/>
        </w:rPr>
        <w:t>osoby prowadzące prace wdrożeniowe w ramach niniejszego zamówienia.</w:t>
      </w:r>
    </w:p>
    <w:p w:rsid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Szkolenia powinny trwać minimum 8 godzin lekcyjnych (45 minut) i będą przeprowadzone dla jednej osoby.</w:t>
      </w:r>
    </w:p>
    <w:p w:rsid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>Zamawiający dopuszcza przeprowadzeni</w:t>
      </w:r>
      <w:r>
        <w:rPr>
          <w:color w:val="000000" w:themeColor="text1"/>
        </w:rPr>
        <w:t>a</w:t>
      </w:r>
      <w:r w:rsidRPr="009B43B9">
        <w:rPr>
          <w:color w:val="000000" w:themeColor="text1"/>
        </w:rPr>
        <w:t xml:space="preserve"> instruktaży w trybie zdalnym</w:t>
      </w:r>
      <w:r>
        <w:rPr>
          <w:color w:val="000000" w:themeColor="text1"/>
        </w:rPr>
        <w:t xml:space="preserve"> (online).</w:t>
      </w:r>
    </w:p>
    <w:p w:rsid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Administrator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ozwiązania po zakończeniu Instruktaży stanowiskowych mus</w:t>
      </w:r>
      <w:r>
        <w:rPr>
          <w:color w:val="000000" w:themeColor="text1"/>
        </w:rPr>
        <w:t>i</w:t>
      </w:r>
      <w:r w:rsidRPr="009B43B9">
        <w:rPr>
          <w:color w:val="000000" w:themeColor="text1"/>
        </w:rPr>
        <w:t xml:space="preserve"> w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szczególności umieć wykonywać czynności administracyjne, a także instalacji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programowania, znać i umieć realizować procedury backupu. Ponadto powinni znać typowe zagrożenia i problemy związane z</w:t>
      </w:r>
      <w:r>
        <w:rPr>
          <w:color w:val="000000" w:themeColor="text1"/>
        </w:rPr>
        <w:t xml:space="preserve"> </w:t>
      </w:r>
      <w:r w:rsidRPr="009B43B9">
        <w:rPr>
          <w:color w:val="000000" w:themeColor="text1"/>
        </w:rPr>
        <w:t xml:space="preserve">funkcjonowaniem rozwiązania, a także sposoby ich przeciwdziałania, wykrywania i usuwania. Powinni umieć instalować, konfigurować, rekonfigurować, monitorować i prawidłowo eksploatować </w:t>
      </w:r>
      <w:r>
        <w:rPr>
          <w:color w:val="000000" w:themeColor="text1"/>
        </w:rPr>
        <w:t>wdrożone rozwiązanie</w:t>
      </w:r>
      <w:r w:rsidRPr="009B43B9">
        <w:rPr>
          <w:color w:val="000000" w:themeColor="text1"/>
        </w:rPr>
        <w:t>, jak również znać jego wdrożoną konfigurację</w:t>
      </w:r>
      <w:r>
        <w:rPr>
          <w:color w:val="000000" w:themeColor="text1"/>
        </w:rPr>
        <w:t>.</w:t>
      </w:r>
    </w:p>
    <w:p w:rsidR="002D0307" w:rsidRPr="002D0307" w:rsidRDefault="002D0307" w:rsidP="009E0B02">
      <w:pPr>
        <w:pStyle w:val="Akapitzlist"/>
        <w:numPr>
          <w:ilvl w:val="0"/>
          <w:numId w:val="40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2D0307">
        <w:rPr>
          <w:color w:val="000000" w:themeColor="text1"/>
        </w:rPr>
        <w:t>W ramach organizacji szkoleń Wykonawca zapewni: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>Materiały szkoleniowe, obejmujące szczegółowy zakres szkolenia, harmonogram dzienny szkolenia oraz materiały merytoryczne (np. skrypty, podręczniki, zeszyty informacyjne, broszury) w formie papierowej</w:t>
      </w:r>
      <w:r>
        <w:t xml:space="preserve"> lub elektronicznej</w:t>
      </w:r>
      <w:r w:rsidRPr="00771245">
        <w:t>, zawierające szczegółowe informacje, które będą omawiane podczas szkolenia. Ponadto</w:t>
      </w:r>
      <w:r>
        <w:t xml:space="preserve"> w przypadku organizacji szkoleń w formule stacjonarnej (w siedzibie Zamawiającego)</w:t>
      </w:r>
      <w:r w:rsidRPr="00771245">
        <w:t xml:space="preserve">, uczestnicy otrzymają materiały pisarskie, w tym zeszyty, długopisy, ołówki itp. Materiały szkoleniowe przekazywane są nieodpłatnie </w:t>
      </w:r>
      <w:r>
        <w:t>u</w:t>
      </w:r>
      <w:r w:rsidRPr="00771245">
        <w:t>czestnikom na własność. 2 egzemplarze materiałów szkoleniowych zostaną przekazane Zamawiającemu w celach archiwalnych.</w:t>
      </w:r>
    </w:p>
    <w:p w:rsidR="002D0307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>
        <w:t>W przypadku szkoleń prowadzonych w trybie zdalnym w formule on-line Wykonawca jest zobowiązany dostarczyć narzędzia do komunikacji zdalnej, które umożliwią dwustronne przesyłanie przez sieć Internet obrazu i dźwięku między prowadzącym szkolenie a uczestnikami szkolenia. Narzędzie musi umożliwiać zadawanie pytań także w formie pisemnej bezpośrednio na czacie w trakcie trwania sesji szkoleniowej. W przypadku szkolenia prowadzonego w trybie zdalnym w formule on-line Zamawiający zastrzega możliwość nagrania szkolenia, a Wykonawca musi zapewnić wyrażenie na to zgody osoby prowadzącej szkolenie.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>
        <w:t>W przypadku szkoleń stacjonarnych (w siedzibie Zamawiającego) oraz o ile wynika to z programu szkolenia Wykonawca zapewni s</w:t>
      </w:r>
      <w:r w:rsidRPr="00771245">
        <w:t xml:space="preserve">przęt komputerowy dla każdego </w:t>
      </w:r>
      <w:r>
        <w:t>u</w:t>
      </w:r>
      <w:r w:rsidRPr="00771245">
        <w:t>czestnika</w:t>
      </w:r>
      <w:r>
        <w:t xml:space="preserve"> szkolenia</w:t>
      </w:r>
      <w:r w:rsidRPr="00771245">
        <w:t xml:space="preserve"> umożliwiający przeprowadzenie szkolenia </w:t>
      </w:r>
      <w:r>
        <w:t>oraz w</w:t>
      </w:r>
      <w:r w:rsidRPr="00771245">
        <w:t>ystarczającą liczbę własnych licencji na oprogramowanie komputerowe wykorzystywane przy realizacji szkoleń</w:t>
      </w:r>
      <w:r>
        <w:t>.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>Projektor multimedialny, tablice i inne artykuły niezbędne do prowadzenia szkoleń</w:t>
      </w:r>
      <w:r>
        <w:t xml:space="preserve"> w przypadku prowadzenia szkoleń stacjonarnych (w siedzibie Zamawiającego)</w:t>
      </w:r>
      <w:r w:rsidRPr="00771245">
        <w:t xml:space="preserve">. 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lastRenderedPageBreak/>
        <w:t xml:space="preserve">Właściwe działania promocyjne i informacyjne dotyczące szkoleń, w tym właściwe oznakowanie sal szkoleniowych, jak również oznakowanie w odpowiedni sposób materiałów szkoleniowych przekazanych </w:t>
      </w:r>
      <w:r>
        <w:t>u</w:t>
      </w:r>
      <w:r w:rsidRPr="00771245">
        <w:t xml:space="preserve">czestnikom oraz Zamawiającemu w celach archiwalnych obowiązkowymi oznaczeniami Beneficjentów Funduszy Europejskich.  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 xml:space="preserve">Wydanie </w:t>
      </w:r>
      <w:r>
        <w:t>u</w:t>
      </w:r>
      <w:r w:rsidRPr="00771245">
        <w:t xml:space="preserve">czestnikom szkolenia </w:t>
      </w:r>
      <w:r>
        <w:t xml:space="preserve">imiennych </w:t>
      </w:r>
      <w:r w:rsidRPr="00771245">
        <w:t>zaświadczeń o ukończeniu danego szkolenia.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>Kadrę</w:t>
      </w:r>
      <w:r>
        <w:t xml:space="preserve"> </w:t>
      </w:r>
      <w:r w:rsidRPr="00771245">
        <w:t>trenerską posiadającą wiedzę i umiejętności adekwatne do rodzaju i zakresu merytorycznego szkolenia, zdolną do pełnej realizacji wymogów związanych z prowadzeniem szkoleń.</w:t>
      </w:r>
    </w:p>
    <w:p w:rsidR="002D0307" w:rsidRPr="00771245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>Prowadzenie dokumentacji wszystkich szkoleń w jednakowy sposób. Na dokumentację szkolenia składają się:</w:t>
      </w:r>
    </w:p>
    <w:p w:rsidR="002D0307" w:rsidRPr="00771245" w:rsidRDefault="002D0307" w:rsidP="009E0B02">
      <w:pPr>
        <w:pStyle w:val="Akapitzlist"/>
        <w:numPr>
          <w:ilvl w:val="6"/>
          <w:numId w:val="41"/>
        </w:numPr>
        <w:spacing w:line="276" w:lineRule="auto"/>
        <w:jc w:val="both"/>
      </w:pPr>
      <w:r w:rsidRPr="00771245">
        <w:t xml:space="preserve">Lista obecności </w:t>
      </w:r>
      <w:r>
        <w:t>u</w:t>
      </w:r>
      <w:r w:rsidRPr="00771245">
        <w:t>czestników szkolenia (dzienne, wypełniane oddzielnie każdego dnia szkolenia).</w:t>
      </w:r>
    </w:p>
    <w:p w:rsidR="002D0307" w:rsidRPr="00771245" w:rsidRDefault="002D0307" w:rsidP="009E0B02">
      <w:pPr>
        <w:pStyle w:val="Akapitzlist"/>
        <w:numPr>
          <w:ilvl w:val="6"/>
          <w:numId w:val="41"/>
        </w:numPr>
        <w:spacing w:line="276" w:lineRule="auto"/>
        <w:jc w:val="both"/>
      </w:pPr>
      <w:r w:rsidRPr="00771245">
        <w:t>Lista odbioru zaświadczeń o ukończeniu szkolenia.</w:t>
      </w:r>
    </w:p>
    <w:p w:rsidR="002D0307" w:rsidRPr="00771245" w:rsidRDefault="002D0307" w:rsidP="009E0B02">
      <w:pPr>
        <w:pStyle w:val="Akapitzlist"/>
        <w:numPr>
          <w:ilvl w:val="6"/>
          <w:numId w:val="41"/>
        </w:numPr>
        <w:spacing w:line="276" w:lineRule="auto"/>
        <w:jc w:val="both"/>
      </w:pPr>
      <w:r w:rsidRPr="00771245">
        <w:t xml:space="preserve">Potwierdzenie przez </w:t>
      </w:r>
      <w:r>
        <w:t>u</w:t>
      </w:r>
      <w:r w:rsidRPr="00771245">
        <w:t>czestników odbioru materiałów szkoleniowych.</w:t>
      </w:r>
    </w:p>
    <w:p w:rsidR="002D0307" w:rsidRPr="00771245" w:rsidRDefault="002D0307" w:rsidP="009E0B02">
      <w:pPr>
        <w:pStyle w:val="Akapitzlist"/>
        <w:numPr>
          <w:ilvl w:val="6"/>
          <w:numId w:val="41"/>
        </w:numPr>
        <w:spacing w:line="276" w:lineRule="auto"/>
        <w:jc w:val="both"/>
      </w:pPr>
      <w:r w:rsidRPr="00771245">
        <w:t>Przeprowadzenie ankiet satysfakcji po każdym szkoleniu.</w:t>
      </w:r>
    </w:p>
    <w:p w:rsidR="002D0307" w:rsidRPr="002D0307" w:rsidRDefault="002D0307" w:rsidP="009E0B02">
      <w:pPr>
        <w:pStyle w:val="Akapitzlist"/>
        <w:numPr>
          <w:ilvl w:val="2"/>
          <w:numId w:val="26"/>
        </w:numPr>
        <w:spacing w:line="276" w:lineRule="auto"/>
        <w:jc w:val="both"/>
      </w:pPr>
      <w:r w:rsidRPr="00771245">
        <w:t>Sporządzony przez kadrę trenerską dziennik zajęć, zawierający szczegółowe informacje na temat przebiegu oraz zakresu merytorycznego szkolenia, podpisany po zakończeniu szkolenia przez prowadzącego szkolenie.</w:t>
      </w:r>
    </w:p>
    <w:p w:rsidR="00632C71" w:rsidRDefault="00632C71" w:rsidP="009E0B02">
      <w:pPr>
        <w:pStyle w:val="Akapitzlist"/>
        <w:numPr>
          <w:ilvl w:val="0"/>
          <w:numId w:val="27"/>
        </w:numPr>
        <w:spacing w:line="276" w:lineRule="auto"/>
        <w:jc w:val="both"/>
      </w:pPr>
      <w:r>
        <w:t>W poniżej wskazanych wymaganiach Zamawiający posługuje się terminami „musi”, „powinien”, „możliwość” określając w ten sposób wymaganą funkcjonalność oprogramowania.</w:t>
      </w:r>
    </w:p>
    <w:p w:rsidR="00601587" w:rsidRDefault="00601587" w:rsidP="00601587">
      <w:pPr>
        <w:pStyle w:val="Nagwek1"/>
        <w:numPr>
          <w:ilvl w:val="1"/>
          <w:numId w:val="1"/>
        </w:numPr>
        <w:spacing w:before="100" w:beforeAutospacing="1" w:after="120" w:line="276" w:lineRule="auto"/>
      </w:pPr>
      <w:bookmarkStart w:id="13" w:name="_Toc210373444"/>
      <w:r>
        <w:t>Zakup oprogramowania do agregacji logów (1 szt.).</w:t>
      </w:r>
      <w:bookmarkEnd w:id="13"/>
    </w:p>
    <w:p w:rsidR="00CE2C2A" w:rsidRPr="004667E1" w:rsidRDefault="00CE2C2A" w:rsidP="00CE2C2A">
      <w:pPr>
        <w:rPr>
          <w:u w:val="single"/>
        </w:rPr>
      </w:pPr>
      <w:r w:rsidRPr="004667E1">
        <w:rPr>
          <w:u w:val="single"/>
        </w:rPr>
        <w:t>Minimalne parametry funkcjonalne oprogramowania do agregacji logów: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umożliwiać zbieranie logów z szerokiego spektrum źródeł, takich jak systemy operacyjne (Linux, Windows, macOS), aplikacje, urządzenia sieciowe, bazy danych, serwery webowe, oraz platformy chmurowe (np. AWS, Azure, Google Cloud)</w:t>
      </w:r>
      <w:r>
        <w:t>, a także z innego oprogramowania do zbierania logów.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wspierać zbieranie logów w różnych formatach, w tym min. syslog, plain text zapewniając możliwość monitorowania standardowych i niestandardowych źródeł danych.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centralizować logi z wszystkich podłączonych źródeł umożliwiając ich łatwe zarządzanie i analizę w jednym miejscu.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oferować zaawansowane funkcje filtracji i transformacji logów.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funkcję normalizacji logów pochodzących z różnych źródeł umożliwiając standaryzację danych i ich późniejszą korelację.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mechanizm korelacji zdarzeń, który umożliwia łączenie i analizowanie zdarzeń pochodzących z różnych źródeł w celu wykrywania bardziej złożonych zagrożeń.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wspierać tworzenie i zarządzanie regułami korelacji, które mogą być dostosowywane do specyficznych potrzeb organizacji, a także grupowane według źródła logów, rodzaju zagrożenia lub poziomu krytyczności.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umożliwiać hierarchizację reguł umożliwiając tworzenie bardziej zaawansowanych strategii wykrywania zagrożeń.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lastRenderedPageBreak/>
        <w:t>System musi posiadać silniki detekcji zagrożeń, które analizują logi w czasie rzeczywistym, identyfikując złośliwe działania, próby włamań, naruszenia polityk bezpieczeństwa oraz inne anomalie.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wspierać wykrywanie zagrożeń opartych zarówno na sygnaturach, jak i na anomaliach umożliwiając szybkie reagowanie na nowe i nieznane wcześniej zagrożenia.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funkcję wykrywania specyficznych rodzajów ataków, takich jak brute force, ataki DDoS, próby eskalacji uprawnień, ataki typu SQL injection, czy próby przejęcia kont użytkowników.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umożliwiać dynamiczne przypisywanie poziomów krytyczności do wykrytych zdarzeń pozwalając na priorytetyzację incydentów bezpieczeństwa.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generować alarmy w czasie rzeczywistym, z możliwością ich wysyłania przez e-mail, webhooki, do systemów SIEM lub innych systemów zarządzania incydentami.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oferować możliwość korelacji i łączenia alarmów zapewniając pełny kontekst zdarzenia i redukcji liczbę fałszywych alarmów.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umożliwiać archiwizację wszystkich zebranych logów z możliwością ich przeszukiwania w celu przeprowadzania analizy historycznej oraz audytów po incydencie.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funkcję generowania raportów zgodności z regulacjami, takimi jak PCI DSS, GDPR oraz inne z możliwością dostosowywania tych raportów do specyficznych wymagań Zamawiającego.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oferować możliwość tworzenia niestandardowych raportów, które mogą zawierać szczegółowe zestawienia zdarzeń, analizę trendów oraz ocenę skuteczności polityk bezpieczeństwa.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wbudowaną integrację z Kibana umożliwiającą wizualizację danych logów, wykonywanie zapytań oraz przetwarzanie danych.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udostępniać API RESTful pozwalające na integrację z zewnętrznymi systemami oraz automatyzację procesów związanych z analizą logów i zarządzaniem incydentami.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oferować integrację z zewnętrznymi bazami danych zagrożeń, takimi jak VirusTotal, w celu automatycznego sprawdzania logów związanych z plikami pod kątem znanych zagrożeń.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wspierać integrację z honeypotami pozwalając na wykrywanie i analizowanie prób ataków na pułapki umożliwiając lepsze zrozumienie działań atakujących.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funkcję geolokalizacji IP w analizowanych logach umożliwiając identyfikowanie podejrzanych połączeń z nieautoryzowanych lokalizacji.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oferować interaktywne dashboardy do monitorowania logów w czasie rzeczywistym z możliwością ich dostosowania do specyficznych potrzeb operacyjnych Zamawiającego.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umożliwiać tworzenie spersonalizowanych widoków i filtrów, które pozwolą na szybką identyfikację incydentów i anomalii dostosowanych do potrzeb administratorów.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System musi posiadać mechanizmy autoryzacji i autentykacji użytkowników umożliwiając kontrolę dostępu do danych, konfiguracji oraz interfejsów zarządzających.</w:t>
      </w:r>
    </w:p>
    <w:p w:rsidR="00CE2C2A" w:rsidRPr="004667E1" w:rsidRDefault="00CE2C2A" w:rsidP="009E0B02">
      <w:pPr>
        <w:numPr>
          <w:ilvl w:val="0"/>
          <w:numId w:val="38"/>
        </w:numPr>
        <w:spacing w:after="0" w:line="276" w:lineRule="auto"/>
        <w:jc w:val="both"/>
      </w:pPr>
      <w:r w:rsidRPr="004667E1">
        <w:t>Zamawiający oczekuje dostawy oprogramowania na licencji typu „open source”. Zamawiający dopuszcza licencje komercyjne, jednak w takim przypadku Zamawiający oczekuje dostawy licencji wieczystej, która nie będzie wymagała nigdy żadnych dodatkowych licencji w celu aktualizacji oprogramowania do najnowszej wersji.</w:t>
      </w:r>
    </w:p>
    <w:p w:rsidR="00CE2C2A" w:rsidRPr="004667E1" w:rsidRDefault="00CE2C2A" w:rsidP="00CE2C2A">
      <w:pPr>
        <w:spacing w:after="0" w:line="276" w:lineRule="auto"/>
        <w:jc w:val="both"/>
      </w:pPr>
    </w:p>
    <w:p w:rsidR="00CE2C2A" w:rsidRPr="004667E1" w:rsidRDefault="00CE2C2A" w:rsidP="00CE2C2A">
      <w:pPr>
        <w:spacing w:after="0" w:line="276" w:lineRule="auto"/>
        <w:jc w:val="both"/>
        <w:rPr>
          <w:u w:val="single"/>
        </w:rPr>
      </w:pPr>
      <w:r w:rsidRPr="004667E1">
        <w:rPr>
          <w:u w:val="single"/>
        </w:rPr>
        <w:t>Wdrożenie oprogramowania do agregacji logów – minimalny zakres prac Wykonawcy: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lastRenderedPageBreak/>
        <w:t>Wdrożenie powinno uwzględniać wszystkie funkcjonalności oprogramowania od zbierania logów po ich analizę, korelację i generowanie raportów.</w:t>
      </w:r>
    </w:p>
    <w:p w:rsidR="00082FF6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082FF6">
        <w:t xml:space="preserve">Wdrożenie powinno odbyć się na rzecz i uwzględniając infrastrukturę </w:t>
      </w:r>
      <w:r w:rsidR="00D3275E">
        <w:t xml:space="preserve">Urzędu Gminy </w:t>
      </w:r>
      <w:r w:rsidR="006457B7">
        <w:t>Siemień</w:t>
      </w:r>
      <w:r w:rsidR="00D3275E">
        <w:t>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W ramach wdrożenia należy przeprowadzić analizę wstępną, w ramach której: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przeprowadzić ocenę infrastruktury: Dokładnie zidentyfikować wszystkie urządzenia w sieci, w tym serwery, przełączniki, komputery, drukarki, routery, firewalle i inne urządzenia sieciowe. Wskazać, które z nich generują logi, które będą zbierane i analizowane przez oprogramowanie.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określić wymagania: Zidentyfikować specyficzne potrzeby i wymagania Zamawiającego, takie jak zgodność z regulacjami, kluczowe punkty monitorowania, typy zagrożeń, na które należy zwracać szczególną uwagę, oraz priorytety w zakresie analizy logów.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zaplanować odpowiedni sprzęt i zasoby: Ustalić odpowiednią infrastrukturę sprzętową i zasoby, które będą niezbędne do wdrożenia oprogramowania. Uwzględnić wymagania dotyczące serwera, pamięci masowej, sieci i innych zasobów, aby zapewnić wydajność systemu oraz odpowiednią konfigurację i wydajność maszyny wirtualnej.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Następnie prace wdrożeniowe obejmą przygotowanie środowiska, w ramach których: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zainstalować serwer centralny: Zainstalować i skonfigurować serwer centralny, który będzie odpowiedzialny za centralizację logów, ich przetwarzanie oraz zarządzanie oprogramowaniem. Serwer powinien mieć odpowiednią moc obliczeniową oraz wystarczającą przestrzeń dyskową do przechowywania zebranych logów – należy określić wszystkie niezbędne zasoby.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skonfigurować agentów na urządzeniach końcowych: Na wszystkich serwerach, komputerach oraz innych urządzeniach, które będą generować logi, zainstalować i skonfigurować agentów do zbierania danych. Agenci muszą być dostosowani do specyficznych systemów operacyjnych i urządzeń.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utworzyć połączenia sieciowe: Upewnić się, że wszyscy agenci są poprawnie połączeni z serwerem centralnym. Połączenia powinny być zabezpieczone, aby zapewnić integralność i poufność przesyłanych danych.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W następnym kroku prace wdrożeniowe powinny objąć konfigurację zbierania i przetwarzania logów, w ramach których: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skonfigurować zbieranie logów z różnych źródeł: Ustawić oprogramowanie tak, aby zbierało logi z serwerów, przełączników, routerów, firewalli oraz innych urządzeń sieciowych. Należy upewnić się, że logi są zbierane w czasie rzeczywistym, a system wspiera różnorodne formaty logów (np. syslog, JSON, plain text).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ustalić reguły filtracji i transformacji logów: Zdefiniować zasady filtracji, które określą, jakie logi mają być przechowywane i analizowane. Oprogramowanie powinno być skonfigurowany do transformacji logów, tak aby dane były normalizowane i wzbogacane o dodatkowe informacje, takie jak metadane czy lokalizacja geograficzna.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zaimplementować korektę i deduplikację logów: Zaimplementować mechanizmy deduplikacji, które będą eliminować powtarzające się zdarzenia, zapobiegając generowaniu zbędnych alarmów i umożliwiając bardziej efektywną analizę.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Następnie prace wdrożeniowe skupić się powinny na ustawieniu reguł korelacji i detekcji, w ramach których: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lastRenderedPageBreak/>
        <w:t xml:space="preserve">Należy skonfigurować reguły korelacji: Ustawić reguły korelacji, które pozwolą na analizę logów pochodzących z różnych źródeł w celu wykrywania bardziej złożonych zagrożeń. Reguły te powinny być dostosowane do specyfiki sieci </w:t>
      </w:r>
      <w:r w:rsidR="002B5E59">
        <w:t>jednostek wdrażających oprogarmowanie.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zdefiniować sygnatury i anomalia: Zaimplementować reguły wykrywania zagrożeń zarówno na podstawie sygnatur, jak i anomalii. System powinien być w stanie identyfikować znane wzorce zagrożeń oraz odchylenia od normalnego zachowania systemu.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skonfigurować poziomy krytyczności: Określić poziomy krytyczności dla różnych rodzajów zdarzeń, aby umożliwić priorytetyzację alarmów. Dostosować poziomy krytyczności do wymagań Zamawiającego uwzględniając lokalne regulacje i polityki.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W ramach wdrożenia wymaganym od Wykonawcy jest implementacja mechanizmów alarmowania, w ramach których: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skonfigurować alerty w czasie rzeczywistym: Ustalić mechanizmy generowania alertów w czasie rzeczywistym, które będą informować administratorów o wykrytych zagrożeniach. Alerty powinny być wysyłane za pomocą e-maila.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ustawić logikę alarmów: Zdefiniować logikę, która będzie decydować, kiedy i w jaki sposób generowane są alarmy. Należy upewnić się, że alarmy są kontekstowe i że system łączy powiązane zdarzenia w celu zredukowania liczby fałszywych pozytywów.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W celu wdrożenia monitorowania i analizy historycznej: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skonfigurować dashboardy monitorujące: Utworzyć interaktywne dashboardy do monitorowania logów i alarmów w czasie rzeczywistym. Dashboardy powinny być dostosowane do potrzeb Zamawiającego umożliwiając łatwe śledzenie kluczowych wskaźników bezpieczeństwa.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skonfigurować mechanizmy archiwizacji i analizy logów: Skonfigurować mechanizmy archiwizacji logów, które pozwolą na ich długoterminowe przechowywanie i analizę historyczną. Należy zapewnić możliwość przeszukiwania archiwalnych logów w celu prowadzenia audytów i dochodzeń po incydentach.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Należy zaimplementować generowanie raportów zgodności: Zaimplementować automatyczne generowanie raportów zgodności, które będą odzwierciedlać wymagania regulacyjne, takie jak RODO, i które będą regularnie dostarczane do odpowiednich wydziałów urzędu.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Dodatkowo należy przygotować oprogramowanie do integracji z innymi systemami poprzez konfigurację integracji z Elastic Stack umożliwiając wizualizację danych logów w Kibana, wykonywanie zaawansowanych zapytań w Elasticsearch oraz przetwarzanie danych przez Logstash. Dodatkowo, należy Zaimplementować API RESTful, które umożliwi integrację oprogramowania z innymi systemami zarządzania incydentami oraz automatyzację procesów związanych z analizą logów.</w:t>
      </w:r>
    </w:p>
    <w:p w:rsidR="00CE2C2A" w:rsidRPr="004667E1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>W końcowej fazie wdrożenia przed uruchomieniem produkcyjnym oprogramowania należy przeprowadzić testowanie i optymalizację oprogramowania, tj.: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Wykonać testy funkcjonalne, aby upewnić się, że wszystkie komponenty modułu działają poprawnie. Testy powinny obejmować zbieranie logów, ich analizę, generowanie alarmów oraz integrację z innymi systemami.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lastRenderedPageBreak/>
        <w:t>Przeprowadzić testy obciążeniowe, aby sprawdzić, czy system działa wydajnie nawet przy dużej ilości generowanych logów. Należy upewnić się, że serwer centralny jest w stanie obsłużyć przewidywaną ilość danych.</w:t>
      </w:r>
    </w:p>
    <w:p w:rsidR="00CE2C2A" w:rsidRPr="004667E1" w:rsidRDefault="00CE2C2A" w:rsidP="009E0B02">
      <w:pPr>
        <w:numPr>
          <w:ilvl w:val="1"/>
          <w:numId w:val="39"/>
        </w:numPr>
        <w:spacing w:after="0" w:line="276" w:lineRule="auto"/>
        <w:jc w:val="both"/>
      </w:pPr>
      <w:r w:rsidRPr="004667E1">
        <w:t>Na podstawie wyników testów dokonać niezbędnych optymalizacji, takich jak dostosowanie filtrów, reguł korelacji czy poziomów krytyczności, aby system dział zgodnie z oczekiwaniami Zamawiającego.</w:t>
      </w:r>
    </w:p>
    <w:p w:rsidR="00044309" w:rsidRPr="00044309" w:rsidRDefault="00CE2C2A" w:rsidP="009E0B02">
      <w:pPr>
        <w:numPr>
          <w:ilvl w:val="0"/>
          <w:numId w:val="39"/>
        </w:numPr>
        <w:spacing w:after="0" w:line="276" w:lineRule="auto"/>
        <w:jc w:val="both"/>
      </w:pPr>
      <w:r w:rsidRPr="004667E1">
        <w:t xml:space="preserve">W ramach wdrożenia oprogramowania </w:t>
      </w:r>
      <w:r>
        <w:t>do agregacji logów</w:t>
      </w:r>
      <w:r w:rsidRPr="004667E1">
        <w:t xml:space="preserve"> należy przeprowadzić szkolenie administratorów odpowiedzialnych za obsługę oprogramowania obejmujące wszystkie aspekty jego konfiguracji, monitorowania i zarządzania incydentami oraz sporządzić szczegółową dokumentację konfiguracji modułu, w tym opis wszystkich zdefiniowanych reguł, schematów połączeń oraz procedur zarządzania systemem.</w:t>
      </w:r>
    </w:p>
    <w:p w:rsidR="00CF28A8" w:rsidRPr="00CF28A8" w:rsidRDefault="00CF28A8" w:rsidP="00CF28A8">
      <w:pPr>
        <w:pStyle w:val="Nagwek1"/>
        <w:numPr>
          <w:ilvl w:val="1"/>
          <w:numId w:val="1"/>
        </w:numPr>
        <w:spacing w:before="100" w:beforeAutospacing="1" w:after="120" w:line="276" w:lineRule="auto"/>
      </w:pPr>
      <w:bookmarkStart w:id="14" w:name="_Toc210373445"/>
      <w:r w:rsidRPr="00062C37">
        <w:t>Rozbudowa oprogramowania antywirusowego o funkcje XDR, szyfrowania danych, zarządzanie podatnościami</w:t>
      </w:r>
      <w:r>
        <w:t>.</w:t>
      </w:r>
      <w:bookmarkEnd w:id="14"/>
    </w:p>
    <w:p w:rsidR="00044309" w:rsidRDefault="003F34C4" w:rsidP="003F34C4">
      <w:pPr>
        <w:jc w:val="both"/>
      </w:pPr>
      <w:r>
        <w:t xml:space="preserve">Rozbudowa oprogramowania antywirusowego będzie polegać na zapewnieniu najnowszej wersji licencji istniejącego oprogramowania </w:t>
      </w:r>
      <w:r w:rsidR="001F2CB2">
        <w:t xml:space="preserve">w okresie </w:t>
      </w:r>
      <w:r>
        <w:t xml:space="preserve">do dnia 30.06.2026 r. oraz rozbudowę o dodatkowe moduły </w:t>
      </w:r>
      <w:r w:rsidR="001F2CB2" w:rsidRPr="00FF5FC4">
        <w:t xml:space="preserve">oprogramowania </w:t>
      </w:r>
      <w:r w:rsidRPr="00FF5FC4">
        <w:t xml:space="preserve">dla Urzędu </w:t>
      </w:r>
      <w:r w:rsidR="00FF5FC4" w:rsidRPr="00FF5FC4">
        <w:t xml:space="preserve">Gminy </w:t>
      </w:r>
      <w:r w:rsidR="00CF28A8">
        <w:t>Siemień</w:t>
      </w:r>
      <w:r w:rsidR="00FF5FC4" w:rsidRPr="00FF5FC4">
        <w:t>.</w:t>
      </w:r>
      <w:r w:rsidRPr="00FF5FC4">
        <w:t xml:space="preserve"> Aktualnie </w:t>
      </w:r>
      <w:r w:rsidR="00FF5FC4" w:rsidRPr="00FF5FC4">
        <w:t>urząd posiada</w:t>
      </w:r>
      <w:r w:rsidRPr="00FF5FC4">
        <w:t xml:space="preserve"> licencje oprogramowania antywirusowego </w:t>
      </w:r>
      <w:r w:rsidR="00CF28A8">
        <w:t>ESET Endpoint</w:t>
      </w:r>
      <w:r w:rsidR="00CF28A8" w:rsidRPr="00CD5142">
        <w:t xml:space="preserve"> Security</w:t>
      </w:r>
      <w:r w:rsidR="00CF28A8">
        <w:t xml:space="preserve"> dla </w:t>
      </w:r>
      <w:r w:rsidR="005552FB">
        <w:t>30 użytkowników, w tym serwerów</w:t>
      </w:r>
      <w:r w:rsidRPr="00FF5FC4">
        <w:t xml:space="preserve">, a przedmiotem zamówienia jest rozbudowa licencji do wersji ESET PROTECT Elite ważnej w okresie do dnia 30.06.2026 r. dla </w:t>
      </w:r>
      <w:r w:rsidR="001F2CB2" w:rsidRPr="00FF5FC4">
        <w:t>maksymalnie</w:t>
      </w:r>
      <w:r w:rsidRPr="00FF5FC4">
        <w:t xml:space="preserve"> </w:t>
      </w:r>
      <w:r w:rsidR="00CF28A8">
        <w:t>30</w:t>
      </w:r>
      <w:r w:rsidRPr="00FF5FC4">
        <w:t xml:space="preserve"> użytkowników</w:t>
      </w:r>
      <w:r w:rsidR="00CF28A8">
        <w:t>/urządzeń</w:t>
      </w:r>
      <w:r w:rsidRPr="00FF5FC4">
        <w:t xml:space="preserve"> </w:t>
      </w:r>
      <w:r w:rsidR="001F2CB2" w:rsidRPr="00FF5FC4">
        <w:t>łącznie oraz umożliwienie zarządzania wszystkimi użytkownikami/urządzeń końcowych z jednej konsoli chmurowej</w:t>
      </w:r>
    </w:p>
    <w:p w:rsidR="001F2CB2" w:rsidRDefault="001F2CB2" w:rsidP="001F2CB2">
      <w:pPr>
        <w:spacing w:line="276" w:lineRule="auto"/>
        <w:jc w:val="both"/>
      </w:pPr>
      <w:r>
        <w:t>lub dostawa równoważnej platformy bezpieczeństwa zgodnie z określonymi poniżej kryteriami równoważności.</w:t>
      </w:r>
    </w:p>
    <w:p w:rsidR="001F2CB2" w:rsidRDefault="001F2CB2" w:rsidP="001F2CB2">
      <w:pPr>
        <w:spacing w:line="276" w:lineRule="auto"/>
        <w:jc w:val="both"/>
      </w:pPr>
      <w:r>
        <w:t>Minimalne wymagania (kryteria równoważności) określone dla równoważnej platformy bezpieczeństwa:</w:t>
      </w:r>
    </w:p>
    <w:p w:rsidR="001F2CB2" w:rsidRPr="007F332B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7F332B">
        <w:rPr>
          <w:rFonts w:cstheme="minorHAnsi"/>
          <w:u w:val="single"/>
        </w:rPr>
        <w:t xml:space="preserve">Administracja zdalna w chmurze.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być dostępne w chmurze producenta oprogramowania antywirusowego.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umożliwiać dostęp do konsoli centralnego zarządzania z poziomu interfejsu WWW.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być zabezpieczone za pośrednictwem protokołu SSL.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mechanizm wykrywający sklonowane maszyny na podstawie unikatowego identyfikatora sprzętowego stacji.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możliwość komunikacji agenta przy wykorzystaniu HTTP Proxy.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możliwość zarządzania urządzeniami mobilnymi – MDM.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możliwość wymuszenia dwufazowej autoryzacji podczas logowania do konsoli administracyjnej.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możliwość dodania zestawu uprawnień dla użytkowników w oparciu co najmniej o funkcje zarządzania: politykami, raportowaniem, zarządzaniem licencjami, zadaniami administracyjnymi. Każda z funkcji musi posiadać możliwość wyboru uprawnienia: odczyt, użyj, zapisz oraz brak.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minimum 80 szablonów raportów, przygotowanych przez producenta.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lastRenderedPageBreak/>
        <w:t xml:space="preserve">Rozwiązanie musi posiadać możliwość tworzenia grup statycznych i dynamicznych komputerów.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Grupy dynamiczne muszą być tworzone na podstawie szablonu określającego warunki, jakie musi spełnić klient, aby został umieszczony w danej grupie. Warunki muszą zawierać co najmniej: adresy sieciowe IP, aktywne zagrożenia, stan funkcjonowania/ochrony, wersja systemu operacyjnego, podzespoły komputera. </w:t>
      </w:r>
    </w:p>
    <w:p w:rsidR="001F2CB2" w:rsidRPr="007F332B" w:rsidRDefault="001F2CB2" w:rsidP="009E0B02">
      <w:pPr>
        <w:pStyle w:val="Akapitzlist"/>
        <w:numPr>
          <w:ilvl w:val="0"/>
          <w:numId w:val="8"/>
        </w:numPr>
        <w:spacing w:line="276" w:lineRule="auto"/>
        <w:jc w:val="both"/>
      </w:pPr>
      <w:r w:rsidRPr="007F332B">
        <w:t xml:space="preserve">Rozwiązanie musi posiadać możliwość uruchomienia zadań automatycznie, przynajmniej z wyzwalaczem: wyrażenie CRON, codziennie, cotygodniowo, comiesięcznie, corocznie, po wystąpieniu nowego zdarzenia oraz umieszczeniu agenta w grupie dynamicznej. </w:t>
      </w:r>
    </w:p>
    <w:p w:rsidR="001F2CB2" w:rsidRPr="007F332B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7F332B">
        <w:rPr>
          <w:rFonts w:cstheme="minorHAnsi"/>
          <w:u w:val="single"/>
        </w:rPr>
        <w:t>Ochrona stacji roboczych</w:t>
      </w:r>
      <w:r>
        <w:rPr>
          <w:rFonts w:cstheme="minorHAnsi"/>
          <w:u w:val="single"/>
        </w:rPr>
        <w:t>.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wspierać systemy operacyjne Windows (Windows 10/Windows 11).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wspierać architekturę ARM64.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wykrywanie i usuwanie niebezpiecznych aplikacji typu adware, spyware, dialer, phishing, narzędzi hakerskich, backdoor.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wbudowaną technologię do ochrony przed rootkitami oraz podłączeniem komputera do sieci botnet.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wykrywanie potencjalnie niepożądanych, niebezpiecznych oraz podejrzanych aplikacji.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skanowanie w czasie rzeczywistym otwieranych, zapisywanych i wykonywanych plików.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skanowanie całego dysku, wybranych katalogów lub pojedynczych plików "na żądanie" lub według harmonogramu.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skanowanie plików spakowanych i skompresowanych oraz dysków sieciowych i dysków przenośnych.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opcję umieszczenia na liście wykluczeń ze skanowania wybranych plików, katalogów lub plików na podstawie rozszerzenia, nazwy, sumy kontrolnej (SHA1) oraz lokalizacji pliku.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integrować się z Intel Threat Detection Technology.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skanowanie i oczyszczanie poczty przychodzącej POP3 i IMAP „w locie” (w czasie rzeczywistym), zanim zostanie dostarczona do klienta pocztowego, zainstalowanego na stacji roboczej (niezależnie od konkretnego klienta pocztowego).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skanowanie ruchu sieciowego wewnątrz szyfrowanych protokołów HTTPS, POP3S, IMAPS.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wbudowane dwa niezależne moduły heurystyczne – jeden wykorzystujący pasywne metody heurystyczne i drugi wykorzystujący aktywne metody heurystyczne oraz elementy sztucznej inteligencji. Musi istnieć możliwość wyboru, z jaką heurystyka ma odbywać się skanowanie – z użyciem jednej lub obu metod jednocześnie.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blokowanie zewnętrznych nośników danych na stacji w tym przynajmniej: Pamięci masowych, optycznych pamięci masowych, pamięci masowych Firewire, urządzeń do tworzenia obrazów, drukarek USB, urządzeń Bluetooth, czytników kart inteligentnych, modemów, portów LPT/COM oraz urządzeń przenośnych.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funkcję blokowania nośników wymiennych bądź grup urządzeń ma umożliwiać użytkownikowi tworzenie reguł dla podłączanych urządzeń minimum w oparciu o typ, numer seryjny, dostawcę lub model urządzenia.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Moduł HIPS musi posiadać możliwość pracy w jednym z pięciu trybów: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lastRenderedPageBreak/>
        <w:t xml:space="preserve">tryb automatyczny z regułami, gdzie program automatycznie tworzy i wykorzystuje reguły wraz z możliwością wykorzystania reguł utworzonych przez użytkownika,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interaktywny, w którym to rozwiązanie pyta użytkownika o akcję w przypadku wykrycia aktywności w systemie,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oparty na regułach, gdzie zastosowanie mają jedynie reguły utworzone przez użytkownika,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uczenia się, w którym rozwiązanie uczy się aktywności systemu i użytkownika oraz tworzy odpowiednie reguły w czasie określonym przez użytkownika. Po wygaśnięciu tego czasu program musi samoczynnie przełączyć się w tryb pracy oparty na regułach,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>tryb inteligentny, w którym rozwiązanie będzie powiadamiało wyłącznie o szczególnie podejrzanych zdarzeniach.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być wyposażone we wbudowaną funkcję, która wygeneruje pełny raport na temat stacji, na której zostało zainstalowane, w tym przynajmniej z: zainstalowanych aplikacji, usług systemowych, informacji o systemie operacyjnym i sprzęcie, aktywnych procesów i połączeń sieciowych, harmonogramu systemu operacyjnego, pliku hosts, sterowników.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Funkcja, generująca taki log, ma posiadać przynajmniej 9 poziomów filtrowania wyników pod kątem tego, które z nich są podejrzane dla rozwiązania i mogą stanowić zagrożenie bezpieczeństwa.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automatyczną, inkrementacyjną aktualizację silnika detekcji.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tylko jeden proces uruchamiany w pamięci, z którego korzystają wszystkie funkcje systemu (antywirus, antyspyware, metody heurystyczne).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funkcjonalność skanera UEFI, który chroni użytkownika poprzez wykrywanie i blokowanie zagrożeń, atakujących jeszcze przed uruchomieniem systemu operacyjnego.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ochronę antyspamową dla programu pocztowego Microsoft Outlook.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Zapora osobista rozwiązania musi pracować w jednym z czterech trybów: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automatyczny – rozwiązanie blokuje cały ruch przychodzący i zezwala tylko na połączenia wychodzące,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interaktywny – rozwiązanie pyta się o każde nowo nawiązywane połączenie,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oparty na regułach – rozwiązanie blokuje cały ruch przychodzący i wychodzący, zezwalając tylko na połączenia skonfigurowane przez administratora, </w:t>
      </w:r>
    </w:p>
    <w:p w:rsidR="001F2CB2" w:rsidRPr="007F332B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7F332B">
        <w:t xml:space="preserve">tryb uczenia się – rozwiązanie automatycznie tworzy nowe reguły zezwalające na połączenia przychodzące i wychodzące. Administrator musi posiadać możliwość konfigurowania czasu działania trybu.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być wyposażona w moduł bezpiecznej przeglądarki.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Przeglądarka musi automatycznie szyfrować wszelkie dane wprowadzane przez Użytkownika.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Praca w bezpiecznej przeglądarce musi być wyróżniona poprzez odpowiedni kolor ramki przeglądarki oraz informację na ramce przeglądarki.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być wyposażone w zintegrowany moduł kontroli dostępu do stron internetowych.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posiadać możliwość filtrowania adresów URL w oparciu o co najmniej 140 kategorii i podkategorii.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t xml:space="preserve">Rozwiązanie musi zapewniać ochronę przed zagrożeniami 0-day. </w:t>
      </w:r>
    </w:p>
    <w:p w:rsidR="001F2CB2" w:rsidRPr="007F332B" w:rsidRDefault="001F2CB2" w:rsidP="009E0B02">
      <w:pPr>
        <w:pStyle w:val="Akapitzlist"/>
        <w:numPr>
          <w:ilvl w:val="0"/>
          <w:numId w:val="9"/>
        </w:numPr>
        <w:spacing w:line="276" w:lineRule="auto"/>
        <w:jc w:val="both"/>
      </w:pPr>
      <w:r w:rsidRPr="007F332B">
        <w:lastRenderedPageBreak/>
        <w:t xml:space="preserve">W przypadku stacji roboczych rozwiązanie musi posiadać możliwość wstrzymania uruchamiania pobieranych plików za pośrednictwem przeglądarek internetowych, klientów poczty e-mail, z nośników wymiennych oraz wyodrębnionych z archiwum. </w:t>
      </w:r>
    </w:p>
    <w:p w:rsidR="001F2CB2" w:rsidRPr="007F332B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7F332B">
        <w:rPr>
          <w:rFonts w:cstheme="minorHAnsi"/>
          <w:u w:val="single"/>
        </w:rPr>
        <w:t>Ochrona serwera.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wspierać systemy Microsoft Windows Server 2012 i nowszych oraz Linux w tym co najmniej: RedHat Enterprise Linux (RHEL) 7,8 i 9, CentOS 7, Ubuntu Server (SLES) 15, Oracle Linux 8 oraz Amazon Linux.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zapewniać ochronę przed wirusami, trojanami, robakami i innymi zagrożeniami.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zapewniać wykrywanie i usuwanie niebezpiecznych aplikacji typu adware, spyware, dialer, phishing, narzędzi hakerskich, backdoor.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zapewniać możliwość skanowania dysków sieciowych typu NAS.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wbudowane dwa niezależne moduły heurystyczne – jeden wykorzystujący pasywne metody heurystyczne i drugi wykorzystujący aktywne metody heurystyczne oraz elementy sztucznej inteligencji. Rozwiązanie musi istnieć możliwość wyboru, z jaką heurystyka ma odbywać się skanowanie – z użyciem jednej lub obu metod jednocześnie.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wspierać automatyczną, inkrementacyjną aktualizację silnika detekcji.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możliwość wykluczania ze skanowania procesów.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możliwość określenia typu podejrzanych plików, jakie będą przesyłane do producenta, w tym co najmniej pliki wykonywalne, archiwa, skrypty, dokumenty. </w:t>
      </w:r>
    </w:p>
    <w:p w:rsidR="001F2CB2" w:rsidRPr="007F332B" w:rsidRDefault="001F2CB2" w:rsidP="001F2CB2">
      <w:pPr>
        <w:pStyle w:val="Akapitzlist"/>
        <w:spacing w:line="276" w:lineRule="auto"/>
        <w:ind w:left="360"/>
        <w:jc w:val="both"/>
      </w:pPr>
      <w:r w:rsidRPr="007F332B">
        <w:t xml:space="preserve">Dodatkowe wymagania dla ochrony serwerów Windows: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możliwość skanowania plików i folderów, znajdujących się w usłudze chmurowej OneDrive.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system zapobiegania włamaniom działający na hoście (HIPS).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wspierać skanowanie magazynu Hyper-V.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funkcjonalność skanera UEFI, który chroni użytkownika poprzez wykrywanie i blokowanie zagrożeń, atakujących jeszcze przed uruchomieniem systemu operacyjnego.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zapewniać administratorowi blokowanie zewnętrznych nośników danych na stacji w tym przynajmniej: Pamięci masowych, optycznych pamięci masowych, pamięci masowych Firewire, urządzeń do tworzenia obrazów, drukarek USB, urządzeń Bluetooth, czytników kart inteligentnych, modemów, portów LPT/COM oraz urządzeń przenośnych.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automatyczne wykrywać usługi zainstalowane na serwerze i tworzyć dla nich odpowiednie wyjątki.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wbudowany system IDS z detekcją prób ataków, anomalii w pracy sieci oraz wykrywaniem aktywności wirusów sieciowych.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zapewniać możliwość dodawania wyjątków dla systemu IDS, co najmniej w oparciu o występujący alert, kierunek, aplikacje, czynność oraz adres IP.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posiadać ochronę przed oprogramowaniem wymuszającym okup za pomocą dedykowanego modułu. </w:t>
      </w:r>
    </w:p>
    <w:p w:rsidR="001F2CB2" w:rsidRPr="007F332B" w:rsidRDefault="001F2CB2" w:rsidP="001F2CB2">
      <w:pPr>
        <w:pStyle w:val="Akapitzlist"/>
        <w:spacing w:line="276" w:lineRule="auto"/>
        <w:ind w:left="360"/>
        <w:jc w:val="both"/>
      </w:pPr>
      <w:r w:rsidRPr="007F332B">
        <w:t xml:space="preserve">Dodatkowe wymagania dla ochrony serwerów Linux: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pozwalać, na uruchomienie lokalnej konsoli administracyjnej, działającej z poziomu przeglądarki internetowej.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lastRenderedPageBreak/>
        <w:t xml:space="preserve">Lokalna konsola administracyjna nie może wymagać do swojej pracy, uruchomienia i instalacji dodatkowego rozwiązania w postaci usługi serwera Web. </w:t>
      </w:r>
    </w:p>
    <w:p w:rsidR="001F2CB2" w:rsidRPr="007F332B" w:rsidRDefault="001F2CB2" w:rsidP="009E0B02">
      <w:pPr>
        <w:pStyle w:val="Akapitzlist"/>
        <w:numPr>
          <w:ilvl w:val="0"/>
          <w:numId w:val="10"/>
        </w:numPr>
        <w:spacing w:line="276" w:lineRule="auto"/>
        <w:jc w:val="both"/>
      </w:pPr>
      <w:r w:rsidRPr="007F332B">
        <w:t xml:space="preserve">Rozwiązanie musi działać w architekturze bazującej na technologii mikro-serwisów. Funkcjonalność ta musi zapewniać podwyższony poziom stabilności, w przypadku awarii jednego z komponentów rozwiązania, nie spowoduje to przerwania pracy całego procesu, a jedynie wymusi restart zawieszonego mikro-serwisu. </w:t>
      </w:r>
    </w:p>
    <w:p w:rsidR="001F2CB2" w:rsidRPr="007F332B" w:rsidRDefault="001F2CB2" w:rsidP="001F2CB2">
      <w:pPr>
        <w:spacing w:line="276" w:lineRule="auto"/>
        <w:jc w:val="both"/>
        <w:rPr>
          <w:rFonts w:cstheme="minorHAnsi"/>
        </w:rPr>
      </w:pPr>
      <w:r w:rsidRPr="007F332B">
        <w:rPr>
          <w:rFonts w:cstheme="minorHAnsi"/>
          <w:u w:val="single"/>
        </w:rPr>
        <w:t>Szyfrowanie</w:t>
      </w:r>
      <w:r>
        <w:rPr>
          <w:rFonts w:cstheme="minorHAnsi"/>
          <w:u w:val="single"/>
        </w:rPr>
        <w:t>.</w:t>
      </w:r>
    </w:p>
    <w:p w:rsidR="001F2CB2" w:rsidRPr="007F332B" w:rsidRDefault="001F2CB2" w:rsidP="009E0B02">
      <w:pPr>
        <w:pStyle w:val="Akapitzlist"/>
        <w:numPr>
          <w:ilvl w:val="0"/>
          <w:numId w:val="11"/>
        </w:numPr>
        <w:spacing w:line="276" w:lineRule="auto"/>
        <w:jc w:val="both"/>
      </w:pPr>
      <w:r w:rsidRPr="007F332B">
        <w:t>System szyfrowania danych musi wspierać instalację aplikacji klienckiej w środowisku Microsoft Windows 10</w:t>
      </w:r>
      <w:r>
        <w:t>/11</w:t>
      </w:r>
      <w:r w:rsidRPr="007F332B">
        <w:t xml:space="preserve"> 32-bit i 64-bit. </w:t>
      </w:r>
    </w:p>
    <w:p w:rsidR="001F2CB2" w:rsidRPr="007F332B" w:rsidRDefault="001F2CB2" w:rsidP="009E0B02">
      <w:pPr>
        <w:pStyle w:val="Akapitzlist"/>
        <w:numPr>
          <w:ilvl w:val="0"/>
          <w:numId w:val="11"/>
        </w:numPr>
        <w:spacing w:line="276" w:lineRule="auto"/>
        <w:jc w:val="both"/>
      </w:pPr>
      <w:r w:rsidRPr="007F332B">
        <w:t xml:space="preserve">System szyfrowania musi wspierać zarządzanie natywnym szyfrowaniem w systemach macOS (FileVault). </w:t>
      </w:r>
    </w:p>
    <w:p w:rsidR="001F2CB2" w:rsidRPr="007F332B" w:rsidRDefault="001F2CB2" w:rsidP="009E0B02">
      <w:pPr>
        <w:pStyle w:val="Akapitzlist"/>
        <w:numPr>
          <w:ilvl w:val="0"/>
          <w:numId w:val="11"/>
        </w:numPr>
        <w:spacing w:line="276" w:lineRule="auto"/>
        <w:jc w:val="both"/>
      </w:pPr>
      <w:r w:rsidRPr="007F332B">
        <w:t xml:space="preserve">Aplikacja musi posiadać autentykacje typu Pre-boot, czyli uwierzytelnienie użytkownika zanim zostanie uruchomiony system operacyjny. Musi istnieć także możliwość całkowitego lub czasowego wyłączenia tego uwierzytelnienia. </w:t>
      </w:r>
    </w:p>
    <w:p w:rsidR="001F2CB2" w:rsidRPr="007F332B" w:rsidRDefault="001F2CB2" w:rsidP="009E0B02">
      <w:pPr>
        <w:pStyle w:val="Akapitzlist"/>
        <w:numPr>
          <w:ilvl w:val="0"/>
          <w:numId w:val="11"/>
        </w:numPr>
        <w:spacing w:line="276" w:lineRule="auto"/>
        <w:jc w:val="both"/>
      </w:pPr>
      <w:r w:rsidRPr="007F332B">
        <w:t>Aplikacja musi umożliwiać szyfrowanie danych na komputerach z UEFI.</w:t>
      </w:r>
    </w:p>
    <w:p w:rsidR="001F2CB2" w:rsidRPr="00BF4ECD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BF4ECD">
        <w:rPr>
          <w:rFonts w:cstheme="minorHAnsi"/>
          <w:u w:val="single"/>
        </w:rPr>
        <w:t>Ochrona urządzeń mobilnych opartych o system Android</w:t>
      </w:r>
      <w:r>
        <w:rPr>
          <w:rFonts w:cstheme="minorHAnsi"/>
          <w:u w:val="single"/>
        </w:rPr>
        <w:t>.</w:t>
      </w:r>
      <w:r w:rsidRPr="00BF4ECD">
        <w:rPr>
          <w:rFonts w:cstheme="minorHAnsi"/>
          <w:u w:val="single"/>
        </w:rPr>
        <w:t xml:space="preserve"> </w:t>
      </w:r>
    </w:p>
    <w:p w:rsidR="001F2CB2" w:rsidRPr="00BF4ECD" w:rsidRDefault="001F2CB2" w:rsidP="009E0B02">
      <w:pPr>
        <w:pStyle w:val="Akapitzlist"/>
        <w:numPr>
          <w:ilvl w:val="0"/>
          <w:numId w:val="12"/>
        </w:numPr>
        <w:spacing w:line="276" w:lineRule="auto"/>
        <w:jc w:val="both"/>
      </w:pPr>
      <w:r w:rsidRPr="00BF4ECD">
        <w:t xml:space="preserve">Rozwiązanie musi zapewniać skanowanie wszystkich typów plików, zarówno w pamięci wewnętrznej, jak i na karcie SD, bez względu na ich rozszerzenie. </w:t>
      </w:r>
    </w:p>
    <w:p w:rsidR="001F2CB2" w:rsidRPr="00BF4ECD" w:rsidRDefault="001F2CB2" w:rsidP="009E0B02">
      <w:pPr>
        <w:pStyle w:val="Akapitzlist"/>
        <w:numPr>
          <w:ilvl w:val="0"/>
          <w:numId w:val="12"/>
        </w:numPr>
        <w:spacing w:line="276" w:lineRule="auto"/>
        <w:jc w:val="both"/>
      </w:pPr>
      <w:r w:rsidRPr="00BF4ECD">
        <w:t xml:space="preserve">Rozwiązanie musi zapewniać co najmniej 2 poziomy skanowania: inteligentne i dokładne. </w:t>
      </w:r>
    </w:p>
    <w:p w:rsidR="001F2CB2" w:rsidRPr="00BF4ECD" w:rsidRDefault="001F2CB2" w:rsidP="009E0B02">
      <w:pPr>
        <w:pStyle w:val="Akapitzlist"/>
        <w:numPr>
          <w:ilvl w:val="0"/>
          <w:numId w:val="12"/>
        </w:numPr>
        <w:spacing w:line="276" w:lineRule="auto"/>
        <w:jc w:val="both"/>
      </w:pPr>
      <w:r w:rsidRPr="00BF4ECD">
        <w:t xml:space="preserve">Rozwiązanie musi zapewniać automatyczne uruchamianie skanowania, gdy urządzenie jest w trybie bezczynności (w pełni naładowane i podłączone do ładowarki). </w:t>
      </w:r>
    </w:p>
    <w:p w:rsidR="001F2CB2" w:rsidRPr="00BF4ECD" w:rsidRDefault="001F2CB2" w:rsidP="009E0B02">
      <w:pPr>
        <w:pStyle w:val="Akapitzlist"/>
        <w:numPr>
          <w:ilvl w:val="0"/>
          <w:numId w:val="12"/>
        </w:numPr>
        <w:spacing w:line="276" w:lineRule="auto"/>
        <w:jc w:val="both"/>
      </w:pPr>
      <w:r w:rsidRPr="00BF4ECD">
        <w:t xml:space="preserve">Rozwiązanie musi posiadać możliwość skonfigurowania zaufanej karty SIM. </w:t>
      </w:r>
    </w:p>
    <w:p w:rsidR="001F2CB2" w:rsidRPr="00BF4ECD" w:rsidRDefault="001F2CB2" w:rsidP="009E0B02">
      <w:pPr>
        <w:pStyle w:val="Akapitzlist"/>
        <w:numPr>
          <w:ilvl w:val="0"/>
          <w:numId w:val="12"/>
        </w:numPr>
        <w:spacing w:line="276" w:lineRule="auto"/>
        <w:jc w:val="both"/>
      </w:pPr>
      <w:r w:rsidRPr="00BF4ECD">
        <w:t>Rozwiązanie musi zapewniać wysłanie na urządzenie komendy z konsoli centralnego zarządzania, która umożliwi: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usunięcie zawartości urządzenia,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przywrócenie urządzenie do ustawień fabrycznych,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zablokowania urządzenia,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uruchomienie sygnału dźwiękowego,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lokalizację GPS.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Rozwiązanie musi zapewniać administratorowi podejrzenie listy zainstalowanych aplikacji.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Rozwiązanie musi posiadać blokowanie aplikacji w oparciu o: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nazwę aplikacji,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nazwę pakietu,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kategorię sklepu Google Play,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uprawnienia aplikacji, </w:t>
      </w:r>
    </w:p>
    <w:p w:rsidR="001F2CB2" w:rsidRPr="00BF4ECD" w:rsidRDefault="001F2CB2" w:rsidP="009E0B02">
      <w:pPr>
        <w:pStyle w:val="Akapitzlist"/>
        <w:numPr>
          <w:ilvl w:val="1"/>
          <w:numId w:val="9"/>
        </w:numPr>
        <w:spacing w:line="276" w:lineRule="auto"/>
        <w:jc w:val="both"/>
      </w:pPr>
      <w:r w:rsidRPr="00BF4ECD">
        <w:t xml:space="preserve">pochodzenie aplikacji z nieznanego źródła. </w:t>
      </w:r>
    </w:p>
    <w:p w:rsidR="001F2CB2" w:rsidRPr="00F81064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F81064">
        <w:rPr>
          <w:rFonts w:cstheme="minorHAnsi"/>
          <w:u w:val="single"/>
        </w:rPr>
        <w:t>Ochrona serwera pocztowego MS Exchange</w:t>
      </w:r>
      <w:r>
        <w:rPr>
          <w:rFonts w:cstheme="minorHAnsi"/>
          <w:u w:val="single"/>
        </w:rPr>
        <w:t>.</w:t>
      </w:r>
      <w:r w:rsidRPr="00F81064">
        <w:rPr>
          <w:rFonts w:cstheme="minorHAnsi"/>
          <w:u w:val="single"/>
        </w:rPr>
        <w:t xml:space="preserve">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wspierać instalację na systemach Microsoft Windows Server 2012 i nowszych.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zapewniać wsparcie dla systemów poczty Microsoft Exchange 2010/2013/2016/2019.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zapewniać wsparcie dla ról Mailbox, Edge, Hub.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skanować pocztę przychodzącą i wychodzącą na serwerze MS Exchange.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lastRenderedPageBreak/>
        <w:t xml:space="preserve">Rozwiązanie musi zapewnić skanowanie bezpośrednio w bazach danych Exchange przy pomocy VSAPI.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mieć możliwość tworzenia różnych reguł blokowania wiadomości w tym co najmniej po zdefiniowanym nadawcy, odbiorcy, temacie wiadomości, typie załącznika, rozmiarze załącznika, rozmiarze wiadomości, nagłówku wiadomości, na podstawie uzyskanego wyniku skanowania antyspamowego i antywirusowego, godzinie odbioru, obecności załącznika chronionego hasłem lub uszkodzonego archiwum.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posiadać wbudowany w oprogramowanie filtr antyspamowy odpowiedzialny za filtrowanie niechcianej poczty.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System antyspamowy ma być wyposażony przynajmniej w możliwość sprawdzania list RBL, DNSBL oraz mechanizm reputacji poczty.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Administrator musi mieć możliwość dodania własnych adresów list RBL oraz DSBL, z których będzie korzystać aplikacja.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ma posiadać mechanizm greylisting (szara lista). </w:t>
      </w:r>
    </w:p>
    <w:p w:rsidR="001F2CB2" w:rsidRPr="00F81064" w:rsidRDefault="001F2CB2" w:rsidP="009E0B02">
      <w:pPr>
        <w:pStyle w:val="Akapitzlist"/>
        <w:numPr>
          <w:ilvl w:val="0"/>
          <w:numId w:val="13"/>
        </w:numPr>
        <w:spacing w:line="276" w:lineRule="auto"/>
        <w:jc w:val="both"/>
      </w:pPr>
      <w:r w:rsidRPr="00F81064">
        <w:t xml:space="preserve">Rozwiązanie musi zapewniać ochronę przed zagrożeniami 0-day. </w:t>
      </w:r>
    </w:p>
    <w:p w:rsidR="001F2CB2" w:rsidRPr="00F81064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F81064">
        <w:rPr>
          <w:rFonts w:cstheme="minorHAnsi"/>
          <w:u w:val="single"/>
        </w:rPr>
        <w:t>Sandbox w chmurze</w:t>
      </w:r>
      <w:r>
        <w:rPr>
          <w:rFonts w:cstheme="minorHAnsi"/>
          <w:u w:val="single"/>
        </w:rPr>
        <w:t>.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musi zapewniać ochronę przed zagrożeniami 0-day.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musi wykorzystywać do działania chmurę producenta.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musi posiadać możliwość określenia jakie pliki mają zostać przesłane do chmury automatycznie, w tym archiwa, skrypty, pliki wykonywalne, możliwy spam, dokumenty oraz inne pliki typu .jar, .reg, .msi.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Administrator musi mieć możliwość zdefiniowania po jakim czasie przesłane pliki muszą zostać usunięte z serwerów producenta.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Administrator musi mieć możliwość zdefiniowania maksymalnego rozmiaru przesyłanych próbek.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musi pozwalać na utworzenie listy wykluczeń określonych plików lub folderów z przesyłania.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Po zakończonej analizie pliku, rozwiązanie musi przesyłać wynik analizy do wszystkich wspieranych produktów.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Administrator musi mieć możliwość podejrzenia listy plików, które zostały przesłane do analizy.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musi pozwalać na analizowanie plików, bez względu na lokalizacje stacji roboczej. W przypadku wykrycia zagrożenia, całe środowisko jest bezzwłocznie chronione.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nie może wymagać instalacji dodatkowego agenta na stacjach roboczych.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Rozwiązanie pozwala na wysłanie dowolnej próbki do analizy przez użytkownika lub administratora, za pomocą wspieranego produktu. Administrator musi móc podejrzeć jakie pliki zostały wysłane do analizy oraz przez kogo. </w:t>
      </w:r>
    </w:p>
    <w:p w:rsidR="001F2CB2" w:rsidRPr="00F81064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F81064">
        <w:t xml:space="preserve">Przeanalizowane pliki muszą zostać odpowiednio oznaczone. Analiza pliku może zakończyć się z wynikiem: </w:t>
      </w:r>
    </w:p>
    <w:p w:rsidR="001F2CB2" w:rsidRPr="005D2899" w:rsidRDefault="001F2CB2" w:rsidP="009E0B02">
      <w:pPr>
        <w:pStyle w:val="Akapitzlist"/>
        <w:numPr>
          <w:ilvl w:val="1"/>
          <w:numId w:val="15"/>
        </w:numPr>
        <w:spacing w:line="276" w:lineRule="auto"/>
        <w:jc w:val="both"/>
      </w:pPr>
      <w:r w:rsidRPr="005D2899">
        <w:t xml:space="preserve">Czysty, </w:t>
      </w:r>
    </w:p>
    <w:p w:rsidR="001F2CB2" w:rsidRPr="005D2899" w:rsidRDefault="001F2CB2" w:rsidP="009E0B02">
      <w:pPr>
        <w:pStyle w:val="Akapitzlist"/>
        <w:numPr>
          <w:ilvl w:val="1"/>
          <w:numId w:val="15"/>
        </w:numPr>
        <w:spacing w:line="276" w:lineRule="auto"/>
        <w:jc w:val="both"/>
      </w:pPr>
      <w:r w:rsidRPr="005D2899">
        <w:t xml:space="preserve">Podejrzany, </w:t>
      </w:r>
    </w:p>
    <w:p w:rsidR="001F2CB2" w:rsidRPr="005D2899" w:rsidRDefault="001F2CB2" w:rsidP="009E0B02">
      <w:pPr>
        <w:pStyle w:val="Akapitzlist"/>
        <w:numPr>
          <w:ilvl w:val="1"/>
          <w:numId w:val="15"/>
        </w:numPr>
        <w:spacing w:line="276" w:lineRule="auto"/>
        <w:jc w:val="both"/>
      </w:pPr>
      <w:r w:rsidRPr="005D2899">
        <w:t xml:space="preserve">Bardzo podejrzany, </w:t>
      </w:r>
    </w:p>
    <w:p w:rsidR="001F2CB2" w:rsidRPr="005D2899" w:rsidRDefault="001F2CB2" w:rsidP="009E0B02">
      <w:pPr>
        <w:pStyle w:val="Akapitzlist"/>
        <w:numPr>
          <w:ilvl w:val="1"/>
          <w:numId w:val="15"/>
        </w:numPr>
        <w:spacing w:line="276" w:lineRule="auto"/>
        <w:jc w:val="both"/>
      </w:pPr>
      <w:r w:rsidRPr="005D2899">
        <w:t xml:space="preserve">Szkodliwy. </w:t>
      </w:r>
    </w:p>
    <w:p w:rsidR="001F2CB2" w:rsidRPr="005D2899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5D2899">
        <w:t xml:space="preserve">W przypadku stacji roboczych rozwiązanie musi posiadać możliwość wstrzymania uruchamiania pobieranych plików za pośrednictwem przeglądarek internetowych, klientów poczty e-mail, z nośników wymiennych oraz wyodrębnionych z archiwum. </w:t>
      </w:r>
    </w:p>
    <w:p w:rsidR="001F2CB2" w:rsidRPr="005D2899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5D2899">
        <w:lastRenderedPageBreak/>
        <w:t xml:space="preserve">W przypadku serwerów pocztowych rozwiązanie musi posiadać możliwość wstrzymania dostarczania wiadomości do momentu zakończenia analizy próbki. </w:t>
      </w:r>
    </w:p>
    <w:p w:rsidR="001F2CB2" w:rsidRPr="005D2899" w:rsidRDefault="001F2CB2" w:rsidP="009E0B02">
      <w:pPr>
        <w:pStyle w:val="Akapitzlist"/>
        <w:numPr>
          <w:ilvl w:val="0"/>
          <w:numId w:val="14"/>
        </w:numPr>
        <w:spacing w:line="276" w:lineRule="auto"/>
        <w:jc w:val="both"/>
      </w:pPr>
      <w:r w:rsidRPr="005D2899">
        <w:t xml:space="preserve">Wykryte zagrożenia muszą być przeniesione w bezpieczny obszar kwarantanny, z której administrator może przywrócić dowolne pliki oraz utworzyć dla niej wyłączenia. </w:t>
      </w:r>
    </w:p>
    <w:p w:rsidR="001F2CB2" w:rsidRPr="005D2899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5D2899">
        <w:rPr>
          <w:rFonts w:cstheme="minorHAnsi"/>
          <w:u w:val="single"/>
        </w:rPr>
        <w:t>Ochrona usługi Microsoft 365</w:t>
      </w:r>
      <w:r>
        <w:rPr>
          <w:rFonts w:cstheme="minorHAnsi"/>
          <w:u w:val="single"/>
        </w:rPr>
        <w:t>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obejmować ochroną usługi Microsoft, takie jak Exchange Online, Onedrive, Sharepoint oraz aplikację Teams.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posiadać możliwość dodania kilku tenantów usługi Micosoft 365.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Administrator musi mieć możliwość wskazania, które konto użytkownika będzie objęte ochroną.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być zarządzane za pomocą dowolnej przeglądarki internetowej z dowolnego miejsca w sieci.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>Rozwiązanie musi być dostępn</w:t>
      </w:r>
      <w:r>
        <w:t>e</w:t>
      </w:r>
      <w:r w:rsidRPr="005D2899">
        <w:t xml:space="preserve"> w języku polskim.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Konsola rozwiązania musi posiadać możliwość raportowania co najmniej: </w:t>
      </w:r>
    </w:p>
    <w:p w:rsidR="001F2CB2" w:rsidRPr="005D2899" w:rsidRDefault="001F2CB2" w:rsidP="009E0B02">
      <w:pPr>
        <w:pStyle w:val="Akapitzlist"/>
        <w:numPr>
          <w:ilvl w:val="1"/>
          <w:numId w:val="17"/>
        </w:numPr>
        <w:spacing w:line="276" w:lineRule="auto"/>
        <w:jc w:val="both"/>
      </w:pPr>
      <w:r w:rsidRPr="005D2899">
        <w:t xml:space="preserve">użytkowników, otrzymujących najwięcej spamu, </w:t>
      </w:r>
    </w:p>
    <w:p w:rsidR="001F2CB2" w:rsidRPr="005D2899" w:rsidRDefault="001F2CB2" w:rsidP="009E0B02">
      <w:pPr>
        <w:pStyle w:val="Akapitzlist"/>
        <w:numPr>
          <w:ilvl w:val="1"/>
          <w:numId w:val="17"/>
        </w:numPr>
        <w:spacing w:line="276" w:lineRule="auto"/>
        <w:jc w:val="both"/>
      </w:pPr>
      <w:r w:rsidRPr="005D2899">
        <w:t xml:space="preserve">użytkowników, otrzymujących najwięcej wiadomości typu „phishing”, </w:t>
      </w:r>
    </w:p>
    <w:p w:rsidR="001F2CB2" w:rsidRPr="005D2899" w:rsidRDefault="001F2CB2" w:rsidP="009E0B02">
      <w:pPr>
        <w:pStyle w:val="Akapitzlist"/>
        <w:numPr>
          <w:ilvl w:val="1"/>
          <w:numId w:val="17"/>
        </w:numPr>
        <w:spacing w:line="276" w:lineRule="auto"/>
        <w:jc w:val="both"/>
      </w:pPr>
      <w:r w:rsidRPr="005D2899">
        <w:t xml:space="preserve">użytkowników, otrzymujących największą ilość szkodliwego oprogramowania, </w:t>
      </w:r>
    </w:p>
    <w:p w:rsidR="001F2CB2" w:rsidRPr="005D2899" w:rsidRDefault="001F2CB2" w:rsidP="009E0B02">
      <w:pPr>
        <w:pStyle w:val="Akapitzlist"/>
        <w:numPr>
          <w:ilvl w:val="1"/>
          <w:numId w:val="17"/>
        </w:numPr>
        <w:spacing w:line="276" w:lineRule="auto"/>
        <w:jc w:val="both"/>
      </w:pPr>
      <w:r w:rsidRPr="005D2899">
        <w:t>kont użytkowników, które mogę być podejrzane.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>Konsola rozwiązania musi posiadać funkcjonalność logowania zdarzeń z podziałem na dzienniki dla Exchange Online i Onedrive.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>Dzienniki Exchange Online muszą posiadać funkcjonalność informowania co najmniej:</w:t>
      </w:r>
    </w:p>
    <w:p w:rsidR="001F2CB2" w:rsidRPr="005D2899" w:rsidRDefault="001F2CB2" w:rsidP="009E0B02">
      <w:pPr>
        <w:pStyle w:val="Akapitzlist"/>
        <w:numPr>
          <w:ilvl w:val="1"/>
          <w:numId w:val="18"/>
        </w:numPr>
        <w:spacing w:line="276" w:lineRule="auto"/>
        <w:jc w:val="both"/>
      </w:pPr>
      <w:r w:rsidRPr="005D2899">
        <w:t>jaka ilość wiadomości została przeskanowania,</w:t>
      </w:r>
    </w:p>
    <w:p w:rsidR="001F2CB2" w:rsidRPr="005D2899" w:rsidRDefault="001F2CB2" w:rsidP="009E0B02">
      <w:pPr>
        <w:pStyle w:val="Akapitzlist"/>
        <w:numPr>
          <w:ilvl w:val="1"/>
          <w:numId w:val="18"/>
        </w:numPr>
        <w:spacing w:line="276" w:lineRule="auto"/>
        <w:jc w:val="both"/>
      </w:pPr>
      <w:r w:rsidRPr="005D2899">
        <w:t xml:space="preserve">wynik skanowania poszczególnej wiadomości, </w:t>
      </w:r>
    </w:p>
    <w:p w:rsidR="001F2CB2" w:rsidRPr="005D2899" w:rsidRDefault="001F2CB2" w:rsidP="009E0B02">
      <w:pPr>
        <w:pStyle w:val="Akapitzlist"/>
        <w:numPr>
          <w:ilvl w:val="1"/>
          <w:numId w:val="18"/>
        </w:numPr>
        <w:spacing w:line="276" w:lineRule="auto"/>
        <w:jc w:val="both"/>
      </w:pPr>
      <w:r w:rsidRPr="005D2899">
        <w:t>czynność podjęta przez rozwiązanie.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Dzienniki Onedrive muszą posiadać funkcjonalność informowania co najmniej o: zagrożeniach, które zostały wykryte, </w:t>
      </w:r>
    </w:p>
    <w:p w:rsidR="001F2CB2" w:rsidRPr="005D2899" w:rsidRDefault="001F2CB2" w:rsidP="009E0B02">
      <w:pPr>
        <w:pStyle w:val="Akapitzlist"/>
        <w:numPr>
          <w:ilvl w:val="1"/>
          <w:numId w:val="19"/>
        </w:numPr>
        <w:spacing w:line="276" w:lineRule="auto"/>
        <w:jc w:val="both"/>
      </w:pPr>
      <w:r w:rsidRPr="005D2899">
        <w:t xml:space="preserve">na jakim koncie zostały wykryte, </w:t>
      </w:r>
    </w:p>
    <w:p w:rsidR="001F2CB2" w:rsidRPr="005D2899" w:rsidRDefault="001F2CB2" w:rsidP="009E0B02">
      <w:pPr>
        <w:pStyle w:val="Akapitzlist"/>
        <w:numPr>
          <w:ilvl w:val="1"/>
          <w:numId w:val="19"/>
        </w:numPr>
        <w:spacing w:line="276" w:lineRule="auto"/>
        <w:jc w:val="both"/>
      </w:pPr>
      <w:r w:rsidRPr="005D2899">
        <w:t xml:space="preserve">jakie zagrożenie zostało wykryte, </w:t>
      </w:r>
    </w:p>
    <w:p w:rsidR="001F2CB2" w:rsidRPr="005D2899" w:rsidRDefault="001F2CB2" w:rsidP="009E0B02">
      <w:pPr>
        <w:pStyle w:val="Akapitzlist"/>
        <w:numPr>
          <w:ilvl w:val="1"/>
          <w:numId w:val="19"/>
        </w:numPr>
        <w:spacing w:line="276" w:lineRule="auto"/>
        <w:jc w:val="both"/>
      </w:pPr>
      <w:r w:rsidRPr="005D2899">
        <w:t>podjętą czynność.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posiadać funkcjonalność kwarantanny, do której będą przenoszone zainfekowane obiekty z usługi Exchange Online oraz Onedrive.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Musi istnieć możliwość pobrania plików z kwarantanny w formie oryginalnego pliku i pliku zabezpieczonego hasłem.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Administrator musi posiadać możliwość przypisania konfiguracji, do dodanych do rozwiązania tenantów lub do poszczególnych grup i użytkowników.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>Administrator musi posiadać możliwość konfiguracji rozwiązania w oparciu o co najmniej:</w:t>
      </w:r>
    </w:p>
    <w:p w:rsidR="001F2CB2" w:rsidRPr="005D2899" w:rsidRDefault="001F2CB2" w:rsidP="009E0B02">
      <w:pPr>
        <w:pStyle w:val="Akapitzlist"/>
        <w:numPr>
          <w:ilvl w:val="1"/>
          <w:numId w:val="20"/>
        </w:numPr>
        <w:spacing w:line="276" w:lineRule="auto"/>
        <w:jc w:val="both"/>
      </w:pPr>
      <w:r w:rsidRPr="005D2899">
        <w:t xml:space="preserve">wykorzystania do analizy mechanizmów chmurowych, tego samego producenta, </w:t>
      </w:r>
    </w:p>
    <w:p w:rsidR="001F2CB2" w:rsidRPr="005D2899" w:rsidRDefault="001F2CB2" w:rsidP="009E0B02">
      <w:pPr>
        <w:pStyle w:val="Akapitzlist"/>
        <w:numPr>
          <w:ilvl w:val="1"/>
          <w:numId w:val="20"/>
        </w:numPr>
        <w:spacing w:line="276" w:lineRule="auto"/>
        <w:jc w:val="both"/>
      </w:pPr>
      <w:r w:rsidRPr="005D2899">
        <w:t xml:space="preserve">wprowadzenia białych i czarnych list adresów ochrony Exchange’a Online, </w:t>
      </w:r>
    </w:p>
    <w:p w:rsidR="001F2CB2" w:rsidRPr="005D2899" w:rsidRDefault="001F2CB2" w:rsidP="009E0B02">
      <w:pPr>
        <w:pStyle w:val="Akapitzlist"/>
        <w:numPr>
          <w:ilvl w:val="1"/>
          <w:numId w:val="20"/>
        </w:numPr>
        <w:spacing w:line="276" w:lineRule="auto"/>
        <w:jc w:val="both"/>
      </w:pPr>
      <w:r w:rsidRPr="005D2899">
        <w:t>dodania znacznika do tematu wiadomości zakwalifikowanej jako SPAM i phishing.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zapewniać funkcję ochrony przed zagrożeniami 0-day.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Funkcja ochrony przed zagrożeniami 0-day musi wykorzystywać do działania chmurę producenta.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Funkcja ochrony przed zagrożeniami 0-day musi posiadać możliwość określenia jakie pliki mają zostać przesłane do chmury automatycznie, w tym archiwa, skrypty, pliki wykonywalne, możliwy spam, dokumenty oraz inne pliki typu .jar, .reg, .msi.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lastRenderedPageBreak/>
        <w:t xml:space="preserve">Administrator musi mieć możliwość zdefiniowania po jakim czasie przesłane pliki muszą zostać usunięte z serwerów producenta. </w:t>
      </w:r>
    </w:p>
    <w:p w:rsidR="001F2CB2" w:rsidRPr="005D2899" w:rsidRDefault="001F2CB2" w:rsidP="009E0B02">
      <w:pPr>
        <w:pStyle w:val="Akapitzlist"/>
        <w:numPr>
          <w:ilvl w:val="0"/>
          <w:numId w:val="16"/>
        </w:numPr>
        <w:spacing w:line="276" w:lineRule="auto"/>
        <w:jc w:val="both"/>
      </w:pPr>
      <w:r w:rsidRPr="005D2899">
        <w:t xml:space="preserve">Rozwiązanie musi posiadać możliwość przesyłania powiadomień e-mail z funkcją wyboru preferowanego języka. </w:t>
      </w:r>
    </w:p>
    <w:p w:rsidR="001F2CB2" w:rsidRPr="00FD4DDF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FD4DDF">
        <w:rPr>
          <w:rFonts w:cstheme="minorHAnsi"/>
          <w:u w:val="single"/>
        </w:rPr>
        <w:t>Moduł zarządzania podatnościami i aktualizacjami</w:t>
      </w:r>
      <w:r>
        <w:rPr>
          <w:rFonts w:cstheme="minorHAnsi"/>
          <w:u w:val="single"/>
        </w:rPr>
        <w:t>.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Rozwiązanie musi mieć możliwości wykrywania podatności w systemach operacyjnych (co najmniej Windows 10, Windows 11) oraz aplikacjach zainstalowanych na zarządzanych stacjach.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Baza wykrywanych podatności musi zawierać minimum 35000 CVE.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Rozwiązanie nie może wymagać instalacji dodatkowej konsoli ani innych dodatkowych komponentów na stacjach końcowych.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Automatyczne wykrywanie podatności musi wykonywać się zgodnie z harmonogramem, nie częściej niż raz dziennie.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Moduł wykrywania podatności musi umożliwiać wyświetlanie szczegółów danej podatności zawierające minimum: </w:t>
      </w:r>
    </w:p>
    <w:p w:rsidR="001F2CB2" w:rsidRPr="00FD4DDF" w:rsidRDefault="001F2CB2" w:rsidP="009E0B02">
      <w:pPr>
        <w:pStyle w:val="Akapitzlist"/>
        <w:numPr>
          <w:ilvl w:val="1"/>
          <w:numId w:val="22"/>
        </w:numPr>
        <w:spacing w:line="276" w:lineRule="auto"/>
        <w:jc w:val="both"/>
      </w:pPr>
      <w:r w:rsidRPr="00FD4DDF">
        <w:t>nazwę aplikacji lub systemu operacyjnego</w:t>
      </w:r>
      <w:r>
        <w:t>;</w:t>
      </w:r>
    </w:p>
    <w:p w:rsidR="001F2CB2" w:rsidRPr="00FD4DDF" w:rsidRDefault="001F2CB2" w:rsidP="009E0B02">
      <w:pPr>
        <w:pStyle w:val="Akapitzlist"/>
        <w:numPr>
          <w:ilvl w:val="1"/>
          <w:numId w:val="22"/>
        </w:numPr>
        <w:spacing w:line="276" w:lineRule="auto"/>
        <w:jc w:val="both"/>
      </w:pPr>
      <w:r w:rsidRPr="00FD4DDF">
        <w:t>punktacje CVSS</w:t>
      </w:r>
      <w:r>
        <w:t>;</w:t>
      </w:r>
    </w:p>
    <w:p w:rsidR="001F2CB2" w:rsidRPr="00FD4DDF" w:rsidRDefault="001F2CB2" w:rsidP="009E0B02">
      <w:pPr>
        <w:pStyle w:val="Akapitzlist"/>
        <w:numPr>
          <w:ilvl w:val="1"/>
          <w:numId w:val="22"/>
        </w:numPr>
        <w:spacing w:line="276" w:lineRule="auto"/>
        <w:jc w:val="both"/>
      </w:pPr>
      <w:r w:rsidRPr="00FD4DDF">
        <w:t>opis wykrytej podatności</w:t>
      </w:r>
      <w:r>
        <w:t>;</w:t>
      </w:r>
    </w:p>
    <w:p w:rsidR="001F2CB2" w:rsidRPr="00FD4DDF" w:rsidRDefault="001F2CB2" w:rsidP="009E0B02">
      <w:pPr>
        <w:pStyle w:val="Akapitzlist"/>
        <w:numPr>
          <w:ilvl w:val="1"/>
          <w:numId w:val="22"/>
        </w:numPr>
        <w:spacing w:line="276" w:lineRule="auto"/>
        <w:jc w:val="both"/>
      </w:pPr>
      <w:r w:rsidRPr="00FD4DDF">
        <w:t>wartość ryzyka oceniona przez wewnętrzne mechanizmy producenta</w:t>
      </w:r>
      <w:r>
        <w:t>.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Moduł wykrywania podatności musi wykrywać podatności w minimum 700 aplikacjach.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Moduł zarządzania aktualizacjami musi umożliwiać wykonanie automatycznej aktualizacji dla minimum 150 popularnych aplikacji. </w:t>
      </w:r>
    </w:p>
    <w:p w:rsidR="001F2CB2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>Moduł zarządzania aktualizacjami musi umożliwiać stworzenie białej listy aplikacji podlegających automatycznej aktualizacji. Automatyczne aktualizacje będą aplikowane tylko dla wskazanych aplikacji w białej liście. Wybór aplikacji musi być możliwy z poziomu listy przygotowanej przez producenta rozwiązania.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Moduł zarządzania aktualizacjami musi umożliwiać stworzenie czarnej listy aplikacji podlegających automatycznej aktualizacji. Automatyczne aktualizacje oprogramowania będą realizowane dla wszystkich - ponad 150 aplikacji, oprócz aplikacji wskazanych na czarnej liście. Wybór aplikacji musi być możliwy z poziomu listy przygotowanej przez producenta rozwiązania.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Zarządzanie aktualizacjami aplikacji musi umożliwiać ręczne wdrażanie poprawek na wybranych stacjach.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Moduł zarządzania aktualizacjami oraz wykrywania podatności musi być zintegrowany bezpośrednio z programem antywirusowym tego samego producenta zainstalowanym na zarządzanym komputerze.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 xml:space="preserve">Stacja robocza posiadająca włączony moduł wykrywania podatności oraz zarządzania aktualizacjami musi być w odpowiedni sposób oznaczona w konsoli centralnego zarządzania. </w:t>
      </w:r>
    </w:p>
    <w:p w:rsidR="001F2CB2" w:rsidRPr="00FD4DDF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>Administrator konsoli musi mieć możliwość włączenia modułu wykrywania podatności i</w:t>
      </w:r>
      <w:r>
        <w:t> </w:t>
      </w:r>
      <w:r w:rsidRPr="00FD4DDF">
        <w:t xml:space="preserve">zarządzania aktualizacjami przy pomocy menu kontekstowego dostępnego w konsoli centralnego zarządzania. </w:t>
      </w:r>
    </w:p>
    <w:p w:rsidR="001F2CB2" w:rsidRDefault="001F2CB2" w:rsidP="009E0B02">
      <w:pPr>
        <w:pStyle w:val="Akapitzlist"/>
        <w:numPr>
          <w:ilvl w:val="0"/>
          <w:numId w:val="21"/>
        </w:numPr>
        <w:spacing w:line="276" w:lineRule="auto"/>
        <w:jc w:val="both"/>
      </w:pPr>
      <w:r w:rsidRPr="00FD4DDF">
        <w:t>Moduł wykrywania podatności ma umożliwiać wyłączenie powiadomień dla wybranej podatności.</w:t>
      </w:r>
    </w:p>
    <w:p w:rsidR="001F2CB2" w:rsidRPr="00E725F1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E725F1">
        <w:rPr>
          <w:rFonts w:cstheme="minorHAnsi"/>
          <w:u w:val="single"/>
        </w:rPr>
        <w:t>Moduł XDR</w:t>
      </w:r>
      <w:r>
        <w:rPr>
          <w:rFonts w:cstheme="minorHAnsi"/>
          <w:u w:val="single"/>
        </w:rPr>
        <w:t>.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Dostęp do konsoli centralnego zarządzania musi odbywać się z poziomu interfejsu WWW.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lastRenderedPageBreak/>
        <w:t xml:space="preserve">Serwer administracyjny musi posiadać możliwość wysyłania zdarzeń do konsoli administracyjnej tego samego producenta.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Interfejs musi być zabezpieczony za pośrednictwem protokołu SSL.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Serwer administracyjny musi posiadać możliwość wprowadzania wykluczeń, po których nie zostanie wyzwolony alarm bezpieczeństwa.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Wykluczenia muszą dotyczyć procesu lub procesu „rodzica”.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Utworzenie wykluczenia musi automatycznie rozwiązywać alarmy, które pasują do utworzonego wykluczenia.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Kryteria wykluczeń muszą być konfigurowane w oparciu o przynajmniej: nazwę procesu, ścieżkę procesu, wiersz polecenia, wydawcę, typ podpisu, SHA-1, nazwę komputera, grupę, użytkownika. </w:t>
      </w:r>
    </w:p>
    <w:p w:rsidR="001F2CB2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Serwer musi posiadać </w:t>
      </w:r>
      <w:r>
        <w:t>minimum</w:t>
      </w:r>
      <w:r w:rsidRPr="00E725F1">
        <w:t xml:space="preserve"> 900 wbudowanych reguł, po których wystąpieniu, nastąpi wyzwolenie alarmu bezpieczeństwa. Administrator musi też posiadać możliwość utworzenia własnych reguł i edycji reguł dodanych przez producenta.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>Serwer administracyjny musi oferować możliwość blokowania plików po sumach kontrolnych. W</w:t>
      </w:r>
      <w:r>
        <w:t> </w:t>
      </w:r>
      <w:r w:rsidRPr="00E725F1">
        <w:t xml:space="preserve">ramach blokady musi istnieć możliwość dodania komentarza oraz konfiguracji wykonywanej czynności, po wykryciu wprowadzonej sumy kontrolnej.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Administrator musi posiadać możliwość weryfikacji uruchomionych plików wykonywalnych na stacji roboczej z możliwością podglądu szczegółów wybranego procesu przynajmniej o: SHA-1, typ podpisu, wydawcę, opis pliku, wersję pliku, nazwę firmy, nazwę produktu, wersję produktu, oryginalną nazwę pliku, rozmiar pliku oraz reputację i popularność pliku.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Administrator, w ramach plików wykonywalnych oraz plików DLL, musi posiadać możliwość ich oznaczenia jako bezpieczne, pobrania do analizy oraz ich zablokowania.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Administrator musi posiadać możliwość weryfikacji uruchomionych skryptów na stacjach roboczych, wraz z informacją dotyczącą parametrów uruchomienia. Administrator musi posiadać możliwość oznaczenia skryptu jako bezpieczny lub niebezpieczny.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W ramach przeglądania wykonanego skryptu, administrator musi posiadać możliwość szczegółowego podglądu wykonanych przez skrypt czynności w formie tekstowej.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W ramach przeglądania wykonanego skryptu lub pliku exe, administrator musi posiadać możliwość weryfikacji powiązanych zdarzeń dotyczących przynajmniej: modyfikacji plików i rejestru, zestawionych połączeń sieciowych i utworzonych plików wykonywalnych.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Serwer administracyjny musi oferować możliwość przekierowania do konsoli zarządzającej produktu antywirusowego, w celu weryfikacji szczegółów wybranej stacji roboczej. W konsoli zarządzającej produktu antywirusowego, administrator musi mieć możliwość podglądu informacji dotyczących przynajmniej: podzespołów zarządzanego komputera (w tym przynajmniej: producent, model, numer seryjny, informacje o systemie, procesor, pamięć RAM, wykorzystanie dysku twardego, informacje o wyświetlaczu, urządzenia peryferyjne, urządzenia audio, drukarki, karty sieciowe, urządzenia masowe) oraz wylistowanie zainstalowanego oprogramowania firm trzecich.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Konsola administracyjna musi mieć możliwość tagowania obiektów. </w:t>
      </w:r>
    </w:p>
    <w:p w:rsidR="001F2CB2" w:rsidRPr="00E725F1" w:rsidRDefault="001F2CB2" w:rsidP="009E0B02">
      <w:pPr>
        <w:pStyle w:val="Akapitzlist"/>
        <w:numPr>
          <w:ilvl w:val="0"/>
          <w:numId w:val="23"/>
        </w:numPr>
        <w:spacing w:line="276" w:lineRule="auto"/>
        <w:jc w:val="both"/>
      </w:pPr>
      <w:r w:rsidRPr="00E725F1">
        <w:t xml:space="preserve">Konsola administracyjna musi umożliwiać połączenie się do stacji roboczej z możliwością wykonywania poleceń powershell. </w:t>
      </w:r>
    </w:p>
    <w:p w:rsidR="001F2CB2" w:rsidRPr="00E725F1" w:rsidRDefault="001F2CB2" w:rsidP="001F2CB2">
      <w:pPr>
        <w:spacing w:line="276" w:lineRule="auto"/>
        <w:jc w:val="both"/>
        <w:rPr>
          <w:rFonts w:cstheme="minorHAnsi"/>
          <w:u w:val="single"/>
        </w:rPr>
      </w:pPr>
      <w:r w:rsidRPr="00E725F1">
        <w:rPr>
          <w:rFonts w:cstheme="minorHAnsi"/>
          <w:u w:val="single"/>
        </w:rPr>
        <w:t>Ochrona poprzez dwuskładnikowe uwierzytelnianie.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lastRenderedPageBreak/>
        <w:t xml:space="preserve">Rozwiązanie musi wspierać systemy operacyjne Microsoft Windows Server: Windows Server 2016 / Windows Server 2016 Essentials / Windows Server 2019 / Windows Server 2019 Essentials / Windows Server 2022.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Rozwiązanie musi wspierać system operacyjne Windows 10 / Windows 11.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Rozwiązanie musi wspierać architekturę 32 i 64-bitową systemu Windows.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Exchange 2007 / 2010 / 2013 / 2016 / 2019.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Dynamics CRM 2011 / 2013 / 2015 / 2016.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Sharepoint 2010 / 2013 / 2016 / 2019.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Remote Desktop Web Access.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Terminal Services Web Access.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Oprogramowanie musi wspierać integrację z Microsoft Remote Web Access.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Rozwiązanie musi posiadać wbudowany serwer RADIUS umożliwiający uwierzytelnianie użytkowników dla rozwiązań VPN, które wspierają protokół RADIUS.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Aplikacja mobilna musi wspierać telefony działające pod kontrolą systemów mobilnych: Android (w wersji 4.4 lub wyższej), iOS (12 lub wyższej).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Aplikacja mobilna do generowania OTP (jednorazowego hasła) musi być dostarczona przez producenta rozwiązania w ramach zakupionej licencji.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Użytkownik musi mieć możliwość dodatkowego zabezpieczenia aplikacji w postaci kodu PIN.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Aplikacja do działania nie może wymagać od użytkownika aktywnego połączenia z Internetem – generowanie OTP (jednorazowego hasła) musi odbywać się w trybie offline. </w:t>
      </w:r>
    </w:p>
    <w:p w:rsidR="001F2CB2" w:rsidRPr="00E725F1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 xml:space="preserve">Dwuskładnikowe uwierzytelnienie musi być możliwe również przy użyciu jednorazowych haseł SMS. </w:t>
      </w:r>
    </w:p>
    <w:p w:rsidR="001F2CB2" w:rsidRDefault="001F2CB2" w:rsidP="009E0B02">
      <w:pPr>
        <w:pStyle w:val="Akapitzlist"/>
        <w:numPr>
          <w:ilvl w:val="0"/>
          <w:numId w:val="24"/>
        </w:numPr>
        <w:spacing w:line="276" w:lineRule="auto"/>
        <w:jc w:val="both"/>
      </w:pPr>
      <w:r w:rsidRPr="00E725F1">
        <w:t>Aplikacja zainstalowana na urządzeniach mobilnych musi umożliwiać generowanie OTP dla więcej niż jednego serwera uwierzytelniającego</w:t>
      </w:r>
      <w:r>
        <w:t>.</w:t>
      </w:r>
    </w:p>
    <w:p w:rsidR="001F2CB2" w:rsidRDefault="001F2CB2" w:rsidP="001F2CB2">
      <w:pPr>
        <w:jc w:val="both"/>
      </w:pPr>
      <w:r w:rsidRPr="001C3FF9">
        <w:rPr>
          <w:rFonts w:cstheme="minorHAnsi"/>
          <w:lang w:eastAsia="pl-PL"/>
        </w:rPr>
        <w:t>Rozwiązania zastępujące dotychczas funkcjonujące u Zamawiającego Wykonawca dostarcza i wdraża na swój koszt.</w:t>
      </w:r>
      <w:r>
        <w:rPr>
          <w:rFonts w:cstheme="minorHAnsi"/>
          <w:lang w:eastAsia="pl-PL"/>
        </w:rPr>
        <w:t xml:space="preserve"> </w:t>
      </w:r>
      <w:r w:rsidRPr="001C3FF9">
        <w:rPr>
          <w:rFonts w:cstheme="minorHAnsi"/>
          <w:lang w:eastAsia="pl-PL"/>
        </w:rPr>
        <w:t>Wykonawca przeprowadzi instruktaże stanowiskowe i będzie świadczył asystę techniczną w zakresie umożliwiającym pracownikom jednostki Zamawiającego płynną obsługę wymienianego oprogramowania.</w:t>
      </w:r>
      <w:r>
        <w:rPr>
          <w:rFonts w:cstheme="minorHAnsi"/>
          <w:lang w:eastAsia="pl-PL"/>
        </w:rPr>
        <w:t xml:space="preserve"> </w:t>
      </w:r>
      <w:r w:rsidRPr="001C3FF9">
        <w:rPr>
          <w:rFonts w:cstheme="minorHAnsi"/>
          <w:lang w:eastAsia="pl-PL"/>
        </w:rPr>
        <w:t xml:space="preserve">Wdrożenie rozwiązania równoważnego nie może zakłócić bieżącej pracy Zamawiającego oraz musi zapewnić ciągłość pracy i musi odbywać się zgodnie z wytycznymi </w:t>
      </w:r>
      <w:r>
        <w:t>wynikającymi z niniejszego dokumentu.</w:t>
      </w:r>
    </w:p>
    <w:sectPr w:rsidR="001F2CB2" w:rsidSect="001B6D1A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E4F" w:rsidRDefault="00DE0E4F" w:rsidP="00C145D9">
      <w:pPr>
        <w:spacing w:after="0" w:line="240" w:lineRule="auto"/>
      </w:pPr>
      <w:r>
        <w:separator/>
      </w:r>
    </w:p>
  </w:endnote>
  <w:endnote w:type="continuationSeparator" w:id="0">
    <w:p w:rsidR="00DE0E4F" w:rsidRDefault="00DE0E4F" w:rsidP="00C1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818405"/>
      <w:docPartObj>
        <w:docPartGallery w:val="Page Numbers (Bottom of Page)"/>
        <w:docPartUnique/>
      </w:docPartObj>
    </w:sdtPr>
    <w:sdtContent>
      <w:p w:rsidR="003C5497" w:rsidRDefault="001D455F">
        <w:pPr>
          <w:pStyle w:val="Stopka"/>
          <w:jc w:val="right"/>
        </w:pPr>
        <w:r>
          <w:fldChar w:fldCharType="begin"/>
        </w:r>
        <w:r w:rsidR="003C5497">
          <w:instrText>PAGE   \* MERGEFORMAT</w:instrText>
        </w:r>
        <w:r>
          <w:fldChar w:fldCharType="separate"/>
        </w:r>
        <w:r w:rsidR="003024C1">
          <w:rPr>
            <w:noProof/>
          </w:rPr>
          <w:t>2</w:t>
        </w:r>
        <w:r>
          <w:fldChar w:fldCharType="end"/>
        </w:r>
      </w:p>
    </w:sdtContent>
  </w:sdt>
  <w:p w:rsidR="003C5497" w:rsidRDefault="003C54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5497" w:rsidRDefault="003C5497">
    <w:pPr>
      <w:pStyle w:val="Stopka"/>
    </w:pPr>
    <w:r w:rsidRPr="00374948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1431925</wp:posOffset>
          </wp:positionH>
          <wp:positionV relativeFrom="paragraph">
            <wp:posOffset>-120015</wp:posOffset>
          </wp:positionV>
          <wp:extent cx="2849880" cy="511175"/>
          <wp:effectExtent l="0" t="0" r="762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E4F" w:rsidRDefault="00DE0E4F" w:rsidP="00C145D9">
      <w:pPr>
        <w:spacing w:after="0" w:line="240" w:lineRule="auto"/>
      </w:pPr>
      <w:r>
        <w:separator/>
      </w:r>
    </w:p>
  </w:footnote>
  <w:footnote w:type="continuationSeparator" w:id="0">
    <w:p w:rsidR="00DE0E4F" w:rsidRDefault="00DE0E4F" w:rsidP="00C1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5497" w:rsidRDefault="003C5497" w:rsidP="0016048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-403860</wp:posOffset>
          </wp:positionH>
          <wp:positionV relativeFrom="paragraph">
            <wp:posOffset>-53975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E61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FF16E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9655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3222BD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B7B251D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0C363235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5B3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746AC6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6D172C1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C3151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504F1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FD543A"/>
    <w:multiLevelType w:val="multilevel"/>
    <w:tmpl w:val="AD062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C804A2"/>
    <w:multiLevelType w:val="hybridMultilevel"/>
    <w:tmpl w:val="C07277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D751D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EB7B7A"/>
    <w:multiLevelType w:val="hybridMultilevel"/>
    <w:tmpl w:val="AED6B810"/>
    <w:lvl w:ilvl="0" w:tplc="0415001B">
      <w:start w:val="1"/>
      <w:numFmt w:val="lowerRoman"/>
      <w:lvlText w:val="%1."/>
      <w:lvlJc w:val="right"/>
      <w:pPr>
        <w:ind w:left="180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044E2"/>
    <w:multiLevelType w:val="hybridMultilevel"/>
    <w:tmpl w:val="B726A3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E050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3F527D"/>
    <w:multiLevelType w:val="multilevel"/>
    <w:tmpl w:val="5D46A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B12E05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DA1E1B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E6535D4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2604B7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C41E89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B73FB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C015C4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D96DD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1419DA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646A708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471919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654E28A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6B1373"/>
    <w:multiLevelType w:val="hybridMultilevel"/>
    <w:tmpl w:val="FAAE8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2B7B22"/>
    <w:multiLevelType w:val="multilevel"/>
    <w:tmpl w:val="5B568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961236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C137A2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8037B3"/>
    <w:multiLevelType w:val="hybridMultilevel"/>
    <w:tmpl w:val="FAAE8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736A9F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F60FC9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2F0FB4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E316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D400F7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4574A3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10376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7B40A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737847">
    <w:abstractNumId w:val="6"/>
  </w:num>
  <w:num w:numId="2" w16cid:durableId="1708064922">
    <w:abstractNumId w:val="36"/>
  </w:num>
  <w:num w:numId="3" w16cid:durableId="257058605">
    <w:abstractNumId w:val="7"/>
  </w:num>
  <w:num w:numId="4" w16cid:durableId="1873182352">
    <w:abstractNumId w:val="21"/>
  </w:num>
  <w:num w:numId="5" w16cid:durableId="1580599432">
    <w:abstractNumId w:val="9"/>
  </w:num>
  <w:num w:numId="6" w16cid:durableId="165022379">
    <w:abstractNumId w:val="26"/>
  </w:num>
  <w:num w:numId="7" w16cid:durableId="1008412130">
    <w:abstractNumId w:val="24"/>
  </w:num>
  <w:num w:numId="8" w16cid:durableId="130252491">
    <w:abstractNumId w:val="18"/>
  </w:num>
  <w:num w:numId="9" w16cid:durableId="434402218">
    <w:abstractNumId w:val="10"/>
  </w:num>
  <w:num w:numId="10" w16cid:durableId="161505533">
    <w:abstractNumId w:val="27"/>
  </w:num>
  <w:num w:numId="11" w16cid:durableId="873033018">
    <w:abstractNumId w:val="23"/>
  </w:num>
  <w:num w:numId="12" w16cid:durableId="2117824749">
    <w:abstractNumId w:val="1"/>
  </w:num>
  <w:num w:numId="13" w16cid:durableId="1691955320">
    <w:abstractNumId w:val="2"/>
  </w:num>
  <w:num w:numId="14" w16cid:durableId="1616524537">
    <w:abstractNumId w:val="41"/>
  </w:num>
  <w:num w:numId="15" w16cid:durableId="586616569">
    <w:abstractNumId w:val="40"/>
  </w:num>
  <w:num w:numId="16" w16cid:durableId="2043362736">
    <w:abstractNumId w:val="32"/>
  </w:num>
  <w:num w:numId="17" w16cid:durableId="772284325">
    <w:abstractNumId w:val="42"/>
  </w:num>
  <w:num w:numId="18" w16cid:durableId="1971935676">
    <w:abstractNumId w:val="29"/>
  </w:num>
  <w:num w:numId="19" w16cid:durableId="929117231">
    <w:abstractNumId w:val="16"/>
  </w:num>
  <w:num w:numId="20" w16cid:durableId="178085896">
    <w:abstractNumId w:val="20"/>
  </w:num>
  <w:num w:numId="21" w16cid:durableId="976254816">
    <w:abstractNumId w:val="0"/>
  </w:num>
  <w:num w:numId="22" w16cid:durableId="294063878">
    <w:abstractNumId w:val="33"/>
  </w:num>
  <w:num w:numId="23" w16cid:durableId="718939533">
    <w:abstractNumId w:val="38"/>
  </w:num>
  <w:num w:numId="24" w16cid:durableId="473446318">
    <w:abstractNumId w:val="25"/>
  </w:num>
  <w:num w:numId="25" w16cid:durableId="2128767857">
    <w:abstractNumId w:val="34"/>
  </w:num>
  <w:num w:numId="26" w16cid:durableId="1898780044">
    <w:abstractNumId w:val="17"/>
  </w:num>
  <w:num w:numId="27" w16cid:durableId="26873157">
    <w:abstractNumId w:val="35"/>
  </w:num>
  <w:num w:numId="28" w16cid:durableId="234049641">
    <w:abstractNumId w:val="19"/>
  </w:num>
  <w:num w:numId="29" w16cid:durableId="2119835709">
    <w:abstractNumId w:val="13"/>
  </w:num>
  <w:num w:numId="30" w16cid:durableId="793057358">
    <w:abstractNumId w:val="4"/>
  </w:num>
  <w:num w:numId="31" w16cid:durableId="1612590902">
    <w:abstractNumId w:val="5"/>
  </w:num>
  <w:num w:numId="32" w16cid:durableId="1040209891">
    <w:abstractNumId w:val="39"/>
  </w:num>
  <w:num w:numId="33" w16cid:durableId="927423515">
    <w:abstractNumId w:val="28"/>
  </w:num>
  <w:num w:numId="34" w16cid:durableId="1189561696">
    <w:abstractNumId w:val="15"/>
  </w:num>
  <w:num w:numId="35" w16cid:durableId="1311861725">
    <w:abstractNumId w:val="14"/>
  </w:num>
  <w:num w:numId="36" w16cid:durableId="1992447065">
    <w:abstractNumId w:val="22"/>
  </w:num>
  <w:num w:numId="37" w16cid:durableId="607126942">
    <w:abstractNumId w:val="30"/>
  </w:num>
  <w:num w:numId="38" w16cid:durableId="7481186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812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4033800">
    <w:abstractNumId w:val="3"/>
  </w:num>
  <w:num w:numId="41" w16cid:durableId="475411915">
    <w:abstractNumId w:val="11"/>
  </w:num>
  <w:num w:numId="42" w16cid:durableId="202524093">
    <w:abstractNumId w:val="31"/>
  </w:num>
  <w:num w:numId="43" w16cid:durableId="2012487172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7E0"/>
    <w:rsid w:val="00000785"/>
    <w:rsid w:val="00001EB0"/>
    <w:rsid w:val="00003C27"/>
    <w:rsid w:val="00003E23"/>
    <w:rsid w:val="000045FB"/>
    <w:rsid w:val="00010115"/>
    <w:rsid w:val="00010B3D"/>
    <w:rsid w:val="00012676"/>
    <w:rsid w:val="00013378"/>
    <w:rsid w:val="000161E5"/>
    <w:rsid w:val="000173E5"/>
    <w:rsid w:val="0002122A"/>
    <w:rsid w:val="00021EA3"/>
    <w:rsid w:val="00023C97"/>
    <w:rsid w:val="00024790"/>
    <w:rsid w:val="000301D6"/>
    <w:rsid w:val="0003458C"/>
    <w:rsid w:val="000359CF"/>
    <w:rsid w:val="000428B1"/>
    <w:rsid w:val="00044309"/>
    <w:rsid w:val="00045DE6"/>
    <w:rsid w:val="000462C4"/>
    <w:rsid w:val="00046E35"/>
    <w:rsid w:val="00047D27"/>
    <w:rsid w:val="0005176A"/>
    <w:rsid w:val="00051B89"/>
    <w:rsid w:val="00053A47"/>
    <w:rsid w:val="00054443"/>
    <w:rsid w:val="00054A16"/>
    <w:rsid w:val="00061243"/>
    <w:rsid w:val="000617BB"/>
    <w:rsid w:val="00062C37"/>
    <w:rsid w:val="00063F79"/>
    <w:rsid w:val="00065ED4"/>
    <w:rsid w:val="000661D7"/>
    <w:rsid w:val="00066D7A"/>
    <w:rsid w:val="0006763C"/>
    <w:rsid w:val="00067C53"/>
    <w:rsid w:val="00067DFB"/>
    <w:rsid w:val="0007170C"/>
    <w:rsid w:val="00075331"/>
    <w:rsid w:val="00075671"/>
    <w:rsid w:val="000761F9"/>
    <w:rsid w:val="00077BE6"/>
    <w:rsid w:val="00077CD3"/>
    <w:rsid w:val="00080CC5"/>
    <w:rsid w:val="00081293"/>
    <w:rsid w:val="00082FF6"/>
    <w:rsid w:val="00084004"/>
    <w:rsid w:val="00087E50"/>
    <w:rsid w:val="0009000B"/>
    <w:rsid w:val="00094B2E"/>
    <w:rsid w:val="00095FFA"/>
    <w:rsid w:val="00096D7A"/>
    <w:rsid w:val="00097AF8"/>
    <w:rsid w:val="000A09CA"/>
    <w:rsid w:val="000A0E1D"/>
    <w:rsid w:val="000A2197"/>
    <w:rsid w:val="000A32A5"/>
    <w:rsid w:val="000A396A"/>
    <w:rsid w:val="000A50DD"/>
    <w:rsid w:val="000A70D6"/>
    <w:rsid w:val="000B18A1"/>
    <w:rsid w:val="000B1E22"/>
    <w:rsid w:val="000B213B"/>
    <w:rsid w:val="000B7DFA"/>
    <w:rsid w:val="000C5ABA"/>
    <w:rsid w:val="000C729D"/>
    <w:rsid w:val="000C7B9C"/>
    <w:rsid w:val="000D194B"/>
    <w:rsid w:val="000D226D"/>
    <w:rsid w:val="000D362E"/>
    <w:rsid w:val="000D38B7"/>
    <w:rsid w:val="000D3B9B"/>
    <w:rsid w:val="000D583C"/>
    <w:rsid w:val="000D7525"/>
    <w:rsid w:val="000D7B90"/>
    <w:rsid w:val="000E0203"/>
    <w:rsid w:val="000E0234"/>
    <w:rsid w:val="000E0759"/>
    <w:rsid w:val="000E4B27"/>
    <w:rsid w:val="000E4FA4"/>
    <w:rsid w:val="000F1009"/>
    <w:rsid w:val="000F2E73"/>
    <w:rsid w:val="000F5A39"/>
    <w:rsid w:val="000F5A99"/>
    <w:rsid w:val="000F6678"/>
    <w:rsid w:val="000F6B70"/>
    <w:rsid w:val="00100A7B"/>
    <w:rsid w:val="001014F0"/>
    <w:rsid w:val="0010357C"/>
    <w:rsid w:val="00106B10"/>
    <w:rsid w:val="00106EF2"/>
    <w:rsid w:val="001117F0"/>
    <w:rsid w:val="0011203B"/>
    <w:rsid w:val="00113E4F"/>
    <w:rsid w:val="00116032"/>
    <w:rsid w:val="00120A44"/>
    <w:rsid w:val="0012434D"/>
    <w:rsid w:val="00151E74"/>
    <w:rsid w:val="001527D5"/>
    <w:rsid w:val="00152B04"/>
    <w:rsid w:val="00153523"/>
    <w:rsid w:val="001550B3"/>
    <w:rsid w:val="001554D0"/>
    <w:rsid w:val="0016048D"/>
    <w:rsid w:val="001614AC"/>
    <w:rsid w:val="0016221D"/>
    <w:rsid w:val="001670E0"/>
    <w:rsid w:val="00167370"/>
    <w:rsid w:val="001678AA"/>
    <w:rsid w:val="00170B6A"/>
    <w:rsid w:val="00170DAE"/>
    <w:rsid w:val="00175275"/>
    <w:rsid w:val="0018224D"/>
    <w:rsid w:val="00184FBD"/>
    <w:rsid w:val="0018767C"/>
    <w:rsid w:val="00191D85"/>
    <w:rsid w:val="00193E7D"/>
    <w:rsid w:val="00196249"/>
    <w:rsid w:val="00196844"/>
    <w:rsid w:val="001A3C89"/>
    <w:rsid w:val="001B0DBC"/>
    <w:rsid w:val="001B12DB"/>
    <w:rsid w:val="001B3488"/>
    <w:rsid w:val="001B3764"/>
    <w:rsid w:val="001B412A"/>
    <w:rsid w:val="001B54AB"/>
    <w:rsid w:val="001B689F"/>
    <w:rsid w:val="001B6D1A"/>
    <w:rsid w:val="001C095D"/>
    <w:rsid w:val="001C20C5"/>
    <w:rsid w:val="001C3088"/>
    <w:rsid w:val="001C5215"/>
    <w:rsid w:val="001D0F8D"/>
    <w:rsid w:val="001D4538"/>
    <w:rsid w:val="001D455F"/>
    <w:rsid w:val="001D6958"/>
    <w:rsid w:val="001D7B10"/>
    <w:rsid w:val="001E08C5"/>
    <w:rsid w:val="001E1CB8"/>
    <w:rsid w:val="001E4497"/>
    <w:rsid w:val="001E66F8"/>
    <w:rsid w:val="001E702A"/>
    <w:rsid w:val="001E75B8"/>
    <w:rsid w:val="001F033F"/>
    <w:rsid w:val="001F2CB2"/>
    <w:rsid w:val="001F5ADA"/>
    <w:rsid w:val="001F6BDA"/>
    <w:rsid w:val="001F7A26"/>
    <w:rsid w:val="002017D5"/>
    <w:rsid w:val="00201DBE"/>
    <w:rsid w:val="0020297C"/>
    <w:rsid w:val="00206B38"/>
    <w:rsid w:val="00207D11"/>
    <w:rsid w:val="00214330"/>
    <w:rsid w:val="002151C6"/>
    <w:rsid w:val="00216D2E"/>
    <w:rsid w:val="00220ED3"/>
    <w:rsid w:val="002222F9"/>
    <w:rsid w:val="0022629C"/>
    <w:rsid w:val="00227DCD"/>
    <w:rsid w:val="00230FEF"/>
    <w:rsid w:val="00231910"/>
    <w:rsid w:val="002321C7"/>
    <w:rsid w:val="00235544"/>
    <w:rsid w:val="002359F2"/>
    <w:rsid w:val="00235A0D"/>
    <w:rsid w:val="00237E3E"/>
    <w:rsid w:val="00240ACD"/>
    <w:rsid w:val="0024699A"/>
    <w:rsid w:val="0025030E"/>
    <w:rsid w:val="00251231"/>
    <w:rsid w:val="002528A6"/>
    <w:rsid w:val="002528B2"/>
    <w:rsid w:val="00253748"/>
    <w:rsid w:val="00254339"/>
    <w:rsid w:val="00255CF1"/>
    <w:rsid w:val="002560E1"/>
    <w:rsid w:val="00256885"/>
    <w:rsid w:val="002608F6"/>
    <w:rsid w:val="002631CC"/>
    <w:rsid w:val="00265F85"/>
    <w:rsid w:val="0026741E"/>
    <w:rsid w:val="0027315D"/>
    <w:rsid w:val="00280C65"/>
    <w:rsid w:val="002853C4"/>
    <w:rsid w:val="00286A33"/>
    <w:rsid w:val="00286B24"/>
    <w:rsid w:val="002874D7"/>
    <w:rsid w:val="00291AF4"/>
    <w:rsid w:val="002921E4"/>
    <w:rsid w:val="002952B7"/>
    <w:rsid w:val="00297E81"/>
    <w:rsid w:val="002A11BE"/>
    <w:rsid w:val="002A340E"/>
    <w:rsid w:val="002A5EA8"/>
    <w:rsid w:val="002A5EE6"/>
    <w:rsid w:val="002A75FC"/>
    <w:rsid w:val="002B1D62"/>
    <w:rsid w:val="002B3938"/>
    <w:rsid w:val="002B5394"/>
    <w:rsid w:val="002B5B69"/>
    <w:rsid w:val="002B5E59"/>
    <w:rsid w:val="002B77C9"/>
    <w:rsid w:val="002C0B64"/>
    <w:rsid w:val="002C2820"/>
    <w:rsid w:val="002C296F"/>
    <w:rsid w:val="002C3B13"/>
    <w:rsid w:val="002C77F5"/>
    <w:rsid w:val="002D0307"/>
    <w:rsid w:val="002D27AE"/>
    <w:rsid w:val="002D71F8"/>
    <w:rsid w:val="002D76B2"/>
    <w:rsid w:val="002E021F"/>
    <w:rsid w:val="002E2A9E"/>
    <w:rsid w:val="002E31BD"/>
    <w:rsid w:val="002E3925"/>
    <w:rsid w:val="002E4758"/>
    <w:rsid w:val="002E732E"/>
    <w:rsid w:val="002F3E45"/>
    <w:rsid w:val="002F44E6"/>
    <w:rsid w:val="002F4D95"/>
    <w:rsid w:val="002F7A1A"/>
    <w:rsid w:val="00300E37"/>
    <w:rsid w:val="003024C1"/>
    <w:rsid w:val="003035FD"/>
    <w:rsid w:val="0031025B"/>
    <w:rsid w:val="0031060C"/>
    <w:rsid w:val="00310D22"/>
    <w:rsid w:val="00313EA8"/>
    <w:rsid w:val="00317A9B"/>
    <w:rsid w:val="00317AF1"/>
    <w:rsid w:val="00320E35"/>
    <w:rsid w:val="00322AFD"/>
    <w:rsid w:val="00324EF9"/>
    <w:rsid w:val="00325637"/>
    <w:rsid w:val="00325DD0"/>
    <w:rsid w:val="00326E13"/>
    <w:rsid w:val="003300F4"/>
    <w:rsid w:val="0033175B"/>
    <w:rsid w:val="00332621"/>
    <w:rsid w:val="00333DDF"/>
    <w:rsid w:val="0033454F"/>
    <w:rsid w:val="00334C14"/>
    <w:rsid w:val="0033561D"/>
    <w:rsid w:val="00335B23"/>
    <w:rsid w:val="00337FB9"/>
    <w:rsid w:val="003401A5"/>
    <w:rsid w:val="00342F66"/>
    <w:rsid w:val="00343C9E"/>
    <w:rsid w:val="00345BBE"/>
    <w:rsid w:val="00347861"/>
    <w:rsid w:val="00353560"/>
    <w:rsid w:val="00355047"/>
    <w:rsid w:val="003556EF"/>
    <w:rsid w:val="003601A4"/>
    <w:rsid w:val="00361C88"/>
    <w:rsid w:val="00361DC7"/>
    <w:rsid w:val="00364044"/>
    <w:rsid w:val="00366083"/>
    <w:rsid w:val="00367782"/>
    <w:rsid w:val="00373749"/>
    <w:rsid w:val="00374D09"/>
    <w:rsid w:val="00382D6B"/>
    <w:rsid w:val="0038501E"/>
    <w:rsid w:val="003859C6"/>
    <w:rsid w:val="003922D1"/>
    <w:rsid w:val="003938FC"/>
    <w:rsid w:val="003952DB"/>
    <w:rsid w:val="003956B0"/>
    <w:rsid w:val="003964C9"/>
    <w:rsid w:val="00397668"/>
    <w:rsid w:val="003A15CD"/>
    <w:rsid w:val="003A1FC0"/>
    <w:rsid w:val="003A3E4D"/>
    <w:rsid w:val="003A7C6B"/>
    <w:rsid w:val="003B0FDE"/>
    <w:rsid w:val="003B22B7"/>
    <w:rsid w:val="003B241D"/>
    <w:rsid w:val="003B456C"/>
    <w:rsid w:val="003B4FA6"/>
    <w:rsid w:val="003B6254"/>
    <w:rsid w:val="003C2834"/>
    <w:rsid w:val="003C3153"/>
    <w:rsid w:val="003C37D4"/>
    <w:rsid w:val="003C5497"/>
    <w:rsid w:val="003C5770"/>
    <w:rsid w:val="003C7401"/>
    <w:rsid w:val="003D0DB1"/>
    <w:rsid w:val="003D15A3"/>
    <w:rsid w:val="003D4EE8"/>
    <w:rsid w:val="003E0B8B"/>
    <w:rsid w:val="003E28EE"/>
    <w:rsid w:val="003E5A68"/>
    <w:rsid w:val="003E5E27"/>
    <w:rsid w:val="003E6952"/>
    <w:rsid w:val="003E7E8F"/>
    <w:rsid w:val="003F085A"/>
    <w:rsid w:val="003F0EA6"/>
    <w:rsid w:val="003F1130"/>
    <w:rsid w:val="003F34C4"/>
    <w:rsid w:val="003F361F"/>
    <w:rsid w:val="003F500B"/>
    <w:rsid w:val="003F642D"/>
    <w:rsid w:val="003F64CB"/>
    <w:rsid w:val="003F6591"/>
    <w:rsid w:val="003F7670"/>
    <w:rsid w:val="00400D17"/>
    <w:rsid w:val="0040139E"/>
    <w:rsid w:val="00402780"/>
    <w:rsid w:val="00405868"/>
    <w:rsid w:val="004117A7"/>
    <w:rsid w:val="004143B3"/>
    <w:rsid w:val="00414B7C"/>
    <w:rsid w:val="00416C22"/>
    <w:rsid w:val="00420907"/>
    <w:rsid w:val="004212F5"/>
    <w:rsid w:val="00422735"/>
    <w:rsid w:val="00422B2C"/>
    <w:rsid w:val="00422E49"/>
    <w:rsid w:val="00425BF4"/>
    <w:rsid w:val="004301A4"/>
    <w:rsid w:val="00435C00"/>
    <w:rsid w:val="004409EE"/>
    <w:rsid w:val="0044138D"/>
    <w:rsid w:val="00442C07"/>
    <w:rsid w:val="00443C34"/>
    <w:rsid w:val="00446577"/>
    <w:rsid w:val="004510E3"/>
    <w:rsid w:val="00451909"/>
    <w:rsid w:val="00452381"/>
    <w:rsid w:val="004540E2"/>
    <w:rsid w:val="00456429"/>
    <w:rsid w:val="004579D5"/>
    <w:rsid w:val="00462B77"/>
    <w:rsid w:val="004663EF"/>
    <w:rsid w:val="00474ECF"/>
    <w:rsid w:val="0047643A"/>
    <w:rsid w:val="00480586"/>
    <w:rsid w:val="00480CE5"/>
    <w:rsid w:val="00481835"/>
    <w:rsid w:val="0048296A"/>
    <w:rsid w:val="004840B2"/>
    <w:rsid w:val="004859C6"/>
    <w:rsid w:val="00486C16"/>
    <w:rsid w:val="00486C40"/>
    <w:rsid w:val="00486C86"/>
    <w:rsid w:val="004876B1"/>
    <w:rsid w:val="00487D05"/>
    <w:rsid w:val="00490E27"/>
    <w:rsid w:val="00491901"/>
    <w:rsid w:val="00491BD9"/>
    <w:rsid w:val="00494949"/>
    <w:rsid w:val="004A0FE8"/>
    <w:rsid w:val="004A1FF7"/>
    <w:rsid w:val="004A3723"/>
    <w:rsid w:val="004A4685"/>
    <w:rsid w:val="004C1859"/>
    <w:rsid w:val="004C1958"/>
    <w:rsid w:val="004C32E1"/>
    <w:rsid w:val="004C3A56"/>
    <w:rsid w:val="004C3B3C"/>
    <w:rsid w:val="004C418B"/>
    <w:rsid w:val="004C433B"/>
    <w:rsid w:val="004C4CDA"/>
    <w:rsid w:val="004C7780"/>
    <w:rsid w:val="004D0E67"/>
    <w:rsid w:val="004D1B42"/>
    <w:rsid w:val="004D3D8D"/>
    <w:rsid w:val="004D4C39"/>
    <w:rsid w:val="004D7822"/>
    <w:rsid w:val="004E2EE6"/>
    <w:rsid w:val="004E3A35"/>
    <w:rsid w:val="004F0501"/>
    <w:rsid w:val="004F2683"/>
    <w:rsid w:val="004F5673"/>
    <w:rsid w:val="004F6CF2"/>
    <w:rsid w:val="004F6F9C"/>
    <w:rsid w:val="004F71C8"/>
    <w:rsid w:val="004F7CC6"/>
    <w:rsid w:val="00502880"/>
    <w:rsid w:val="005046F8"/>
    <w:rsid w:val="00505497"/>
    <w:rsid w:val="0050549D"/>
    <w:rsid w:val="005073A1"/>
    <w:rsid w:val="005075BE"/>
    <w:rsid w:val="0051506A"/>
    <w:rsid w:val="005158BB"/>
    <w:rsid w:val="00517524"/>
    <w:rsid w:val="00517DE8"/>
    <w:rsid w:val="00520B59"/>
    <w:rsid w:val="00521E40"/>
    <w:rsid w:val="00523355"/>
    <w:rsid w:val="00533547"/>
    <w:rsid w:val="00537FA9"/>
    <w:rsid w:val="005427A4"/>
    <w:rsid w:val="00543610"/>
    <w:rsid w:val="00544589"/>
    <w:rsid w:val="005455C4"/>
    <w:rsid w:val="005514F4"/>
    <w:rsid w:val="00554888"/>
    <w:rsid w:val="0055526C"/>
    <w:rsid w:val="005552FB"/>
    <w:rsid w:val="00555AA6"/>
    <w:rsid w:val="00557E15"/>
    <w:rsid w:val="0056145F"/>
    <w:rsid w:val="00563C80"/>
    <w:rsid w:val="00564CBD"/>
    <w:rsid w:val="00566397"/>
    <w:rsid w:val="00567427"/>
    <w:rsid w:val="00572DDC"/>
    <w:rsid w:val="0057442F"/>
    <w:rsid w:val="005762E8"/>
    <w:rsid w:val="005802E1"/>
    <w:rsid w:val="00581796"/>
    <w:rsid w:val="00583C04"/>
    <w:rsid w:val="00591D9A"/>
    <w:rsid w:val="00593DC7"/>
    <w:rsid w:val="005A2966"/>
    <w:rsid w:val="005A2A3C"/>
    <w:rsid w:val="005A2A8C"/>
    <w:rsid w:val="005A2AC9"/>
    <w:rsid w:val="005A3127"/>
    <w:rsid w:val="005B01AB"/>
    <w:rsid w:val="005B1BFD"/>
    <w:rsid w:val="005B21CC"/>
    <w:rsid w:val="005B2D8D"/>
    <w:rsid w:val="005B4EA1"/>
    <w:rsid w:val="005C083C"/>
    <w:rsid w:val="005C2033"/>
    <w:rsid w:val="005C3164"/>
    <w:rsid w:val="005C3F42"/>
    <w:rsid w:val="005C6561"/>
    <w:rsid w:val="005C7442"/>
    <w:rsid w:val="005D097B"/>
    <w:rsid w:val="005D2899"/>
    <w:rsid w:val="005D2E3A"/>
    <w:rsid w:val="005D498F"/>
    <w:rsid w:val="005D5D48"/>
    <w:rsid w:val="005D6CDB"/>
    <w:rsid w:val="005E01B1"/>
    <w:rsid w:val="005E0D27"/>
    <w:rsid w:val="005E1945"/>
    <w:rsid w:val="005E3C46"/>
    <w:rsid w:val="005E4286"/>
    <w:rsid w:val="005E5926"/>
    <w:rsid w:val="005E5C31"/>
    <w:rsid w:val="005F1CF5"/>
    <w:rsid w:val="005F5E2D"/>
    <w:rsid w:val="00601587"/>
    <w:rsid w:val="00601AF4"/>
    <w:rsid w:val="00601BD9"/>
    <w:rsid w:val="00601C7B"/>
    <w:rsid w:val="00603D34"/>
    <w:rsid w:val="00604289"/>
    <w:rsid w:val="00604D67"/>
    <w:rsid w:val="00605855"/>
    <w:rsid w:val="00605E2A"/>
    <w:rsid w:val="006064AE"/>
    <w:rsid w:val="00612ED4"/>
    <w:rsid w:val="00615A95"/>
    <w:rsid w:val="006163B3"/>
    <w:rsid w:val="00616AA6"/>
    <w:rsid w:val="006172DB"/>
    <w:rsid w:val="006174F0"/>
    <w:rsid w:val="006176C3"/>
    <w:rsid w:val="0062288F"/>
    <w:rsid w:val="006238F1"/>
    <w:rsid w:val="00624344"/>
    <w:rsid w:val="006243CD"/>
    <w:rsid w:val="00627AD4"/>
    <w:rsid w:val="006311FF"/>
    <w:rsid w:val="00631C12"/>
    <w:rsid w:val="00632C71"/>
    <w:rsid w:val="0063460F"/>
    <w:rsid w:val="00637A41"/>
    <w:rsid w:val="006411F2"/>
    <w:rsid w:val="006424A3"/>
    <w:rsid w:val="006457B7"/>
    <w:rsid w:val="00646281"/>
    <w:rsid w:val="006468BC"/>
    <w:rsid w:val="00646F6C"/>
    <w:rsid w:val="006470A2"/>
    <w:rsid w:val="006504C4"/>
    <w:rsid w:val="0065629B"/>
    <w:rsid w:val="00660306"/>
    <w:rsid w:val="00661062"/>
    <w:rsid w:val="006656F9"/>
    <w:rsid w:val="00666F75"/>
    <w:rsid w:val="00672328"/>
    <w:rsid w:val="00672765"/>
    <w:rsid w:val="00675A64"/>
    <w:rsid w:val="0067697B"/>
    <w:rsid w:val="00680AB6"/>
    <w:rsid w:val="006817FD"/>
    <w:rsid w:val="006832BE"/>
    <w:rsid w:val="00683CA3"/>
    <w:rsid w:val="00684154"/>
    <w:rsid w:val="00685C51"/>
    <w:rsid w:val="00686784"/>
    <w:rsid w:val="00687C96"/>
    <w:rsid w:val="00690B33"/>
    <w:rsid w:val="0069510D"/>
    <w:rsid w:val="00695312"/>
    <w:rsid w:val="00695D55"/>
    <w:rsid w:val="0069652A"/>
    <w:rsid w:val="006A21A2"/>
    <w:rsid w:val="006A74B4"/>
    <w:rsid w:val="006A7B62"/>
    <w:rsid w:val="006A7F6E"/>
    <w:rsid w:val="006B121E"/>
    <w:rsid w:val="006B2565"/>
    <w:rsid w:val="006B292A"/>
    <w:rsid w:val="006B3298"/>
    <w:rsid w:val="006B57BC"/>
    <w:rsid w:val="006B7728"/>
    <w:rsid w:val="006B7DD4"/>
    <w:rsid w:val="006C0894"/>
    <w:rsid w:val="006C0ED9"/>
    <w:rsid w:val="006C62F3"/>
    <w:rsid w:val="006D1EBD"/>
    <w:rsid w:val="006D510D"/>
    <w:rsid w:val="006D5E17"/>
    <w:rsid w:val="006E465C"/>
    <w:rsid w:val="006E4BFC"/>
    <w:rsid w:val="006E556B"/>
    <w:rsid w:val="006E7040"/>
    <w:rsid w:val="006F172A"/>
    <w:rsid w:val="006F197A"/>
    <w:rsid w:val="006F208E"/>
    <w:rsid w:val="006F3A75"/>
    <w:rsid w:val="006F4340"/>
    <w:rsid w:val="006F4902"/>
    <w:rsid w:val="006F5241"/>
    <w:rsid w:val="006F5C7C"/>
    <w:rsid w:val="007027AB"/>
    <w:rsid w:val="00704278"/>
    <w:rsid w:val="00705581"/>
    <w:rsid w:val="0070706A"/>
    <w:rsid w:val="00712289"/>
    <w:rsid w:val="00712846"/>
    <w:rsid w:val="00712FD5"/>
    <w:rsid w:val="00713950"/>
    <w:rsid w:val="00714587"/>
    <w:rsid w:val="007162B6"/>
    <w:rsid w:val="007248BF"/>
    <w:rsid w:val="0072647B"/>
    <w:rsid w:val="0073085D"/>
    <w:rsid w:val="00730B54"/>
    <w:rsid w:val="007412C8"/>
    <w:rsid w:val="00741974"/>
    <w:rsid w:val="007434EC"/>
    <w:rsid w:val="00743853"/>
    <w:rsid w:val="007439AA"/>
    <w:rsid w:val="00751F02"/>
    <w:rsid w:val="007564B7"/>
    <w:rsid w:val="00762C5D"/>
    <w:rsid w:val="00765250"/>
    <w:rsid w:val="007701F4"/>
    <w:rsid w:val="00771245"/>
    <w:rsid w:val="007715AD"/>
    <w:rsid w:val="007734D1"/>
    <w:rsid w:val="00773840"/>
    <w:rsid w:val="00776DFA"/>
    <w:rsid w:val="007778F3"/>
    <w:rsid w:val="00785E30"/>
    <w:rsid w:val="007923D6"/>
    <w:rsid w:val="007936AE"/>
    <w:rsid w:val="00793B8C"/>
    <w:rsid w:val="00793FD6"/>
    <w:rsid w:val="00796ECA"/>
    <w:rsid w:val="007A46B8"/>
    <w:rsid w:val="007B011D"/>
    <w:rsid w:val="007B038E"/>
    <w:rsid w:val="007B03E4"/>
    <w:rsid w:val="007B147A"/>
    <w:rsid w:val="007C10A5"/>
    <w:rsid w:val="007C1331"/>
    <w:rsid w:val="007C39A6"/>
    <w:rsid w:val="007C4DBE"/>
    <w:rsid w:val="007C5235"/>
    <w:rsid w:val="007D5973"/>
    <w:rsid w:val="007D6B23"/>
    <w:rsid w:val="007E0C6D"/>
    <w:rsid w:val="007E1C84"/>
    <w:rsid w:val="007E48F1"/>
    <w:rsid w:val="007E7150"/>
    <w:rsid w:val="007E7428"/>
    <w:rsid w:val="007E76B8"/>
    <w:rsid w:val="007F0463"/>
    <w:rsid w:val="007F2BAD"/>
    <w:rsid w:val="007F332B"/>
    <w:rsid w:val="007F4563"/>
    <w:rsid w:val="008000F1"/>
    <w:rsid w:val="008032CC"/>
    <w:rsid w:val="00804186"/>
    <w:rsid w:val="00805A72"/>
    <w:rsid w:val="00810533"/>
    <w:rsid w:val="0081102E"/>
    <w:rsid w:val="00811354"/>
    <w:rsid w:val="00813677"/>
    <w:rsid w:val="00813F41"/>
    <w:rsid w:val="00813F52"/>
    <w:rsid w:val="008170FB"/>
    <w:rsid w:val="00822A66"/>
    <w:rsid w:val="008231B1"/>
    <w:rsid w:val="008235D5"/>
    <w:rsid w:val="00823CC1"/>
    <w:rsid w:val="00825D2E"/>
    <w:rsid w:val="008313D3"/>
    <w:rsid w:val="00831E96"/>
    <w:rsid w:val="008357FD"/>
    <w:rsid w:val="00835CE6"/>
    <w:rsid w:val="008369D8"/>
    <w:rsid w:val="00836CB6"/>
    <w:rsid w:val="008407E2"/>
    <w:rsid w:val="008409F7"/>
    <w:rsid w:val="008411BF"/>
    <w:rsid w:val="00841F26"/>
    <w:rsid w:val="00843F36"/>
    <w:rsid w:val="00845D69"/>
    <w:rsid w:val="00846667"/>
    <w:rsid w:val="008473A9"/>
    <w:rsid w:val="00853A79"/>
    <w:rsid w:val="00855C97"/>
    <w:rsid w:val="00861555"/>
    <w:rsid w:val="00865841"/>
    <w:rsid w:val="00870AEA"/>
    <w:rsid w:val="008749A4"/>
    <w:rsid w:val="00875003"/>
    <w:rsid w:val="00877BE9"/>
    <w:rsid w:val="00881C40"/>
    <w:rsid w:val="00881D4E"/>
    <w:rsid w:val="00882566"/>
    <w:rsid w:val="00882D5E"/>
    <w:rsid w:val="00883E50"/>
    <w:rsid w:val="00883F65"/>
    <w:rsid w:val="00887801"/>
    <w:rsid w:val="008907C7"/>
    <w:rsid w:val="008924B2"/>
    <w:rsid w:val="00893004"/>
    <w:rsid w:val="00893CD3"/>
    <w:rsid w:val="00893FC9"/>
    <w:rsid w:val="00895FD6"/>
    <w:rsid w:val="008A0F17"/>
    <w:rsid w:val="008A38F1"/>
    <w:rsid w:val="008A3C20"/>
    <w:rsid w:val="008A49AD"/>
    <w:rsid w:val="008A5260"/>
    <w:rsid w:val="008A5392"/>
    <w:rsid w:val="008A5431"/>
    <w:rsid w:val="008A5C0C"/>
    <w:rsid w:val="008B0675"/>
    <w:rsid w:val="008B0DAF"/>
    <w:rsid w:val="008B180C"/>
    <w:rsid w:val="008B2010"/>
    <w:rsid w:val="008B506A"/>
    <w:rsid w:val="008B7492"/>
    <w:rsid w:val="008B7F7E"/>
    <w:rsid w:val="008C0045"/>
    <w:rsid w:val="008C0EE7"/>
    <w:rsid w:val="008C10B5"/>
    <w:rsid w:val="008C1161"/>
    <w:rsid w:val="008C2CEA"/>
    <w:rsid w:val="008C3E5D"/>
    <w:rsid w:val="008C5ABE"/>
    <w:rsid w:val="008C6019"/>
    <w:rsid w:val="008C7022"/>
    <w:rsid w:val="008C74AF"/>
    <w:rsid w:val="008C75B3"/>
    <w:rsid w:val="008C798B"/>
    <w:rsid w:val="008D0C50"/>
    <w:rsid w:val="008D207F"/>
    <w:rsid w:val="008D2F11"/>
    <w:rsid w:val="008D3566"/>
    <w:rsid w:val="008D5C6C"/>
    <w:rsid w:val="008D7D9B"/>
    <w:rsid w:val="008E0E6A"/>
    <w:rsid w:val="008E14DC"/>
    <w:rsid w:val="008E2757"/>
    <w:rsid w:val="008E3464"/>
    <w:rsid w:val="008E3CB7"/>
    <w:rsid w:val="008E46C9"/>
    <w:rsid w:val="008F0C94"/>
    <w:rsid w:val="008F237B"/>
    <w:rsid w:val="008F2A5C"/>
    <w:rsid w:val="008F2D8B"/>
    <w:rsid w:val="008F3172"/>
    <w:rsid w:val="008F797C"/>
    <w:rsid w:val="00901138"/>
    <w:rsid w:val="00903034"/>
    <w:rsid w:val="009058A1"/>
    <w:rsid w:val="00912700"/>
    <w:rsid w:val="00913414"/>
    <w:rsid w:val="009143B7"/>
    <w:rsid w:val="00915032"/>
    <w:rsid w:val="00916F7C"/>
    <w:rsid w:val="00922E5B"/>
    <w:rsid w:val="009242CC"/>
    <w:rsid w:val="00931F99"/>
    <w:rsid w:val="00933B54"/>
    <w:rsid w:val="00933DFE"/>
    <w:rsid w:val="00934027"/>
    <w:rsid w:val="0093449A"/>
    <w:rsid w:val="0093612B"/>
    <w:rsid w:val="009377E4"/>
    <w:rsid w:val="009415F7"/>
    <w:rsid w:val="00941ECF"/>
    <w:rsid w:val="009438D1"/>
    <w:rsid w:val="0094554A"/>
    <w:rsid w:val="0094795C"/>
    <w:rsid w:val="009501A4"/>
    <w:rsid w:val="009541A0"/>
    <w:rsid w:val="00954313"/>
    <w:rsid w:val="009561F3"/>
    <w:rsid w:val="00962207"/>
    <w:rsid w:val="00963C57"/>
    <w:rsid w:val="009652B0"/>
    <w:rsid w:val="00965710"/>
    <w:rsid w:val="00966CF8"/>
    <w:rsid w:val="00970769"/>
    <w:rsid w:val="00973014"/>
    <w:rsid w:val="00974812"/>
    <w:rsid w:val="00975584"/>
    <w:rsid w:val="00976328"/>
    <w:rsid w:val="0097752F"/>
    <w:rsid w:val="00981705"/>
    <w:rsid w:val="00982091"/>
    <w:rsid w:val="0098450B"/>
    <w:rsid w:val="00984670"/>
    <w:rsid w:val="00984FC7"/>
    <w:rsid w:val="00984FEB"/>
    <w:rsid w:val="00990437"/>
    <w:rsid w:val="00992A1A"/>
    <w:rsid w:val="00994AE7"/>
    <w:rsid w:val="00994EFC"/>
    <w:rsid w:val="0099695C"/>
    <w:rsid w:val="00996DCA"/>
    <w:rsid w:val="009974B3"/>
    <w:rsid w:val="009A1A81"/>
    <w:rsid w:val="009A29AD"/>
    <w:rsid w:val="009A47A8"/>
    <w:rsid w:val="009A52B0"/>
    <w:rsid w:val="009A6982"/>
    <w:rsid w:val="009A6D5B"/>
    <w:rsid w:val="009B156A"/>
    <w:rsid w:val="009B22E1"/>
    <w:rsid w:val="009B2D19"/>
    <w:rsid w:val="009B3324"/>
    <w:rsid w:val="009B5337"/>
    <w:rsid w:val="009B6207"/>
    <w:rsid w:val="009B7C63"/>
    <w:rsid w:val="009C12F2"/>
    <w:rsid w:val="009C14C2"/>
    <w:rsid w:val="009C1988"/>
    <w:rsid w:val="009C1E23"/>
    <w:rsid w:val="009C3EB6"/>
    <w:rsid w:val="009C53A3"/>
    <w:rsid w:val="009C56B4"/>
    <w:rsid w:val="009C650D"/>
    <w:rsid w:val="009C6703"/>
    <w:rsid w:val="009C776C"/>
    <w:rsid w:val="009D485F"/>
    <w:rsid w:val="009D555F"/>
    <w:rsid w:val="009E0B02"/>
    <w:rsid w:val="009E162B"/>
    <w:rsid w:val="009E17D3"/>
    <w:rsid w:val="009E2602"/>
    <w:rsid w:val="009E544E"/>
    <w:rsid w:val="009E5976"/>
    <w:rsid w:val="009E5B74"/>
    <w:rsid w:val="009E7938"/>
    <w:rsid w:val="009F060A"/>
    <w:rsid w:val="009F07DB"/>
    <w:rsid w:val="009F1C7B"/>
    <w:rsid w:val="009F529E"/>
    <w:rsid w:val="009F6F7E"/>
    <w:rsid w:val="00A02E5D"/>
    <w:rsid w:val="00A02FE9"/>
    <w:rsid w:val="00A03B94"/>
    <w:rsid w:val="00A04EBE"/>
    <w:rsid w:val="00A05359"/>
    <w:rsid w:val="00A0646F"/>
    <w:rsid w:val="00A07519"/>
    <w:rsid w:val="00A075BA"/>
    <w:rsid w:val="00A102F8"/>
    <w:rsid w:val="00A1221F"/>
    <w:rsid w:val="00A17A8E"/>
    <w:rsid w:val="00A212F4"/>
    <w:rsid w:val="00A224AC"/>
    <w:rsid w:val="00A256BF"/>
    <w:rsid w:val="00A264F4"/>
    <w:rsid w:val="00A26664"/>
    <w:rsid w:val="00A326DB"/>
    <w:rsid w:val="00A350F6"/>
    <w:rsid w:val="00A36B93"/>
    <w:rsid w:val="00A36CBB"/>
    <w:rsid w:val="00A370E2"/>
    <w:rsid w:val="00A4081D"/>
    <w:rsid w:val="00A46045"/>
    <w:rsid w:val="00A46401"/>
    <w:rsid w:val="00A47940"/>
    <w:rsid w:val="00A5186B"/>
    <w:rsid w:val="00A56F3C"/>
    <w:rsid w:val="00A57F2A"/>
    <w:rsid w:val="00A60882"/>
    <w:rsid w:val="00A6116D"/>
    <w:rsid w:val="00A63000"/>
    <w:rsid w:val="00A64898"/>
    <w:rsid w:val="00A64EC6"/>
    <w:rsid w:val="00A65C1F"/>
    <w:rsid w:val="00A67C80"/>
    <w:rsid w:val="00A67CFC"/>
    <w:rsid w:val="00A70752"/>
    <w:rsid w:val="00A70D18"/>
    <w:rsid w:val="00A73750"/>
    <w:rsid w:val="00A808A3"/>
    <w:rsid w:val="00A848FF"/>
    <w:rsid w:val="00A85286"/>
    <w:rsid w:val="00A8599E"/>
    <w:rsid w:val="00A85FAB"/>
    <w:rsid w:val="00A873C7"/>
    <w:rsid w:val="00A9108F"/>
    <w:rsid w:val="00A922E9"/>
    <w:rsid w:val="00A94D03"/>
    <w:rsid w:val="00A95C4A"/>
    <w:rsid w:val="00A975DA"/>
    <w:rsid w:val="00AA0218"/>
    <w:rsid w:val="00AA0713"/>
    <w:rsid w:val="00AA316B"/>
    <w:rsid w:val="00AA538C"/>
    <w:rsid w:val="00AB0174"/>
    <w:rsid w:val="00AB0C4C"/>
    <w:rsid w:val="00AB7A2D"/>
    <w:rsid w:val="00AC17F9"/>
    <w:rsid w:val="00AC2B1F"/>
    <w:rsid w:val="00AC30E3"/>
    <w:rsid w:val="00AD0F66"/>
    <w:rsid w:val="00AD1F4B"/>
    <w:rsid w:val="00AD2206"/>
    <w:rsid w:val="00AD539A"/>
    <w:rsid w:val="00AD6065"/>
    <w:rsid w:val="00AD6145"/>
    <w:rsid w:val="00AD6D58"/>
    <w:rsid w:val="00AE0208"/>
    <w:rsid w:val="00AE1379"/>
    <w:rsid w:val="00AE3C92"/>
    <w:rsid w:val="00AE6F02"/>
    <w:rsid w:val="00AF1BC8"/>
    <w:rsid w:val="00AF68AD"/>
    <w:rsid w:val="00B000EA"/>
    <w:rsid w:val="00B01012"/>
    <w:rsid w:val="00B03D91"/>
    <w:rsid w:val="00B04D12"/>
    <w:rsid w:val="00B07478"/>
    <w:rsid w:val="00B10BA8"/>
    <w:rsid w:val="00B11BA6"/>
    <w:rsid w:val="00B11D38"/>
    <w:rsid w:val="00B12805"/>
    <w:rsid w:val="00B16442"/>
    <w:rsid w:val="00B21CBB"/>
    <w:rsid w:val="00B228E1"/>
    <w:rsid w:val="00B24976"/>
    <w:rsid w:val="00B25A26"/>
    <w:rsid w:val="00B26754"/>
    <w:rsid w:val="00B30012"/>
    <w:rsid w:val="00B3169B"/>
    <w:rsid w:val="00B324CD"/>
    <w:rsid w:val="00B33408"/>
    <w:rsid w:val="00B36670"/>
    <w:rsid w:val="00B368B5"/>
    <w:rsid w:val="00B410A3"/>
    <w:rsid w:val="00B4119D"/>
    <w:rsid w:val="00B45DE6"/>
    <w:rsid w:val="00B47836"/>
    <w:rsid w:val="00B50122"/>
    <w:rsid w:val="00B51168"/>
    <w:rsid w:val="00B52A47"/>
    <w:rsid w:val="00B5392E"/>
    <w:rsid w:val="00B614F3"/>
    <w:rsid w:val="00B623ED"/>
    <w:rsid w:val="00B66C49"/>
    <w:rsid w:val="00B679C1"/>
    <w:rsid w:val="00B70F71"/>
    <w:rsid w:val="00B72351"/>
    <w:rsid w:val="00B735C7"/>
    <w:rsid w:val="00B7432C"/>
    <w:rsid w:val="00B75175"/>
    <w:rsid w:val="00B75A75"/>
    <w:rsid w:val="00B80BAD"/>
    <w:rsid w:val="00B83372"/>
    <w:rsid w:val="00B834C4"/>
    <w:rsid w:val="00B8532F"/>
    <w:rsid w:val="00B85D63"/>
    <w:rsid w:val="00B86DD1"/>
    <w:rsid w:val="00B929FE"/>
    <w:rsid w:val="00B96474"/>
    <w:rsid w:val="00BA0929"/>
    <w:rsid w:val="00BA16A4"/>
    <w:rsid w:val="00BA2B4B"/>
    <w:rsid w:val="00BA3379"/>
    <w:rsid w:val="00BA7825"/>
    <w:rsid w:val="00BA7FEF"/>
    <w:rsid w:val="00BB12C7"/>
    <w:rsid w:val="00BB28AB"/>
    <w:rsid w:val="00BB356B"/>
    <w:rsid w:val="00BB3A18"/>
    <w:rsid w:val="00BB5154"/>
    <w:rsid w:val="00BB61A1"/>
    <w:rsid w:val="00BC0AFA"/>
    <w:rsid w:val="00BC2CB1"/>
    <w:rsid w:val="00BC3953"/>
    <w:rsid w:val="00BC4B0E"/>
    <w:rsid w:val="00BC4C75"/>
    <w:rsid w:val="00BC5B37"/>
    <w:rsid w:val="00BC750A"/>
    <w:rsid w:val="00BD0F46"/>
    <w:rsid w:val="00BD5AEC"/>
    <w:rsid w:val="00BE0244"/>
    <w:rsid w:val="00BE3232"/>
    <w:rsid w:val="00BE3E8C"/>
    <w:rsid w:val="00BE6847"/>
    <w:rsid w:val="00BE6BBD"/>
    <w:rsid w:val="00BF0BC9"/>
    <w:rsid w:val="00BF115C"/>
    <w:rsid w:val="00BF36A3"/>
    <w:rsid w:val="00BF4ECD"/>
    <w:rsid w:val="00BF5590"/>
    <w:rsid w:val="00BF5D12"/>
    <w:rsid w:val="00BF6F29"/>
    <w:rsid w:val="00C00B14"/>
    <w:rsid w:val="00C00D9F"/>
    <w:rsid w:val="00C01C08"/>
    <w:rsid w:val="00C0279E"/>
    <w:rsid w:val="00C02A86"/>
    <w:rsid w:val="00C02D8D"/>
    <w:rsid w:val="00C04B66"/>
    <w:rsid w:val="00C05405"/>
    <w:rsid w:val="00C059B9"/>
    <w:rsid w:val="00C10EBB"/>
    <w:rsid w:val="00C11C36"/>
    <w:rsid w:val="00C12FC6"/>
    <w:rsid w:val="00C136DA"/>
    <w:rsid w:val="00C145D9"/>
    <w:rsid w:val="00C14EEA"/>
    <w:rsid w:val="00C14EF9"/>
    <w:rsid w:val="00C15EFE"/>
    <w:rsid w:val="00C17995"/>
    <w:rsid w:val="00C17C6E"/>
    <w:rsid w:val="00C20324"/>
    <w:rsid w:val="00C20A81"/>
    <w:rsid w:val="00C22671"/>
    <w:rsid w:val="00C2361C"/>
    <w:rsid w:val="00C2530E"/>
    <w:rsid w:val="00C264D2"/>
    <w:rsid w:val="00C267E0"/>
    <w:rsid w:val="00C26E77"/>
    <w:rsid w:val="00C3015A"/>
    <w:rsid w:val="00C30A6F"/>
    <w:rsid w:val="00C33E9A"/>
    <w:rsid w:val="00C34491"/>
    <w:rsid w:val="00C344BF"/>
    <w:rsid w:val="00C3564F"/>
    <w:rsid w:val="00C40222"/>
    <w:rsid w:val="00C436C5"/>
    <w:rsid w:val="00C441F5"/>
    <w:rsid w:val="00C44A11"/>
    <w:rsid w:val="00C46E2E"/>
    <w:rsid w:val="00C51DCD"/>
    <w:rsid w:val="00C5509A"/>
    <w:rsid w:val="00C55936"/>
    <w:rsid w:val="00C55A6A"/>
    <w:rsid w:val="00C55C54"/>
    <w:rsid w:val="00C5611A"/>
    <w:rsid w:val="00C61300"/>
    <w:rsid w:val="00C71CAE"/>
    <w:rsid w:val="00C7587B"/>
    <w:rsid w:val="00C75D03"/>
    <w:rsid w:val="00C779B3"/>
    <w:rsid w:val="00C77DEF"/>
    <w:rsid w:val="00C80EA6"/>
    <w:rsid w:val="00C81537"/>
    <w:rsid w:val="00C81721"/>
    <w:rsid w:val="00C81EDD"/>
    <w:rsid w:val="00C83254"/>
    <w:rsid w:val="00C8644F"/>
    <w:rsid w:val="00C9029B"/>
    <w:rsid w:val="00C91782"/>
    <w:rsid w:val="00C949D4"/>
    <w:rsid w:val="00C95F02"/>
    <w:rsid w:val="00C9775D"/>
    <w:rsid w:val="00CA0119"/>
    <w:rsid w:val="00CA1984"/>
    <w:rsid w:val="00CA38DB"/>
    <w:rsid w:val="00CA7D2D"/>
    <w:rsid w:val="00CA7E0C"/>
    <w:rsid w:val="00CB12E9"/>
    <w:rsid w:val="00CB1973"/>
    <w:rsid w:val="00CB32D8"/>
    <w:rsid w:val="00CB4A9D"/>
    <w:rsid w:val="00CB57FC"/>
    <w:rsid w:val="00CB588F"/>
    <w:rsid w:val="00CB7519"/>
    <w:rsid w:val="00CB7A05"/>
    <w:rsid w:val="00CC38D4"/>
    <w:rsid w:val="00CC5426"/>
    <w:rsid w:val="00CC7B18"/>
    <w:rsid w:val="00CD13E0"/>
    <w:rsid w:val="00CD2F32"/>
    <w:rsid w:val="00CD456F"/>
    <w:rsid w:val="00CD5681"/>
    <w:rsid w:val="00CD56EB"/>
    <w:rsid w:val="00CD5D1C"/>
    <w:rsid w:val="00CD6C33"/>
    <w:rsid w:val="00CD7DA6"/>
    <w:rsid w:val="00CE1077"/>
    <w:rsid w:val="00CE172D"/>
    <w:rsid w:val="00CE2079"/>
    <w:rsid w:val="00CE2C2A"/>
    <w:rsid w:val="00CE2ECD"/>
    <w:rsid w:val="00CE50E0"/>
    <w:rsid w:val="00CE70D3"/>
    <w:rsid w:val="00CF1410"/>
    <w:rsid w:val="00CF1740"/>
    <w:rsid w:val="00CF28A8"/>
    <w:rsid w:val="00CF6856"/>
    <w:rsid w:val="00CF6A5D"/>
    <w:rsid w:val="00CF7836"/>
    <w:rsid w:val="00D008D6"/>
    <w:rsid w:val="00D01BD6"/>
    <w:rsid w:val="00D01D14"/>
    <w:rsid w:val="00D04DF2"/>
    <w:rsid w:val="00D0535C"/>
    <w:rsid w:val="00D065EE"/>
    <w:rsid w:val="00D06B3E"/>
    <w:rsid w:val="00D06BD3"/>
    <w:rsid w:val="00D108C1"/>
    <w:rsid w:val="00D1533B"/>
    <w:rsid w:val="00D16068"/>
    <w:rsid w:val="00D1619D"/>
    <w:rsid w:val="00D20888"/>
    <w:rsid w:val="00D2178D"/>
    <w:rsid w:val="00D223C7"/>
    <w:rsid w:val="00D22DE3"/>
    <w:rsid w:val="00D23144"/>
    <w:rsid w:val="00D24227"/>
    <w:rsid w:val="00D27129"/>
    <w:rsid w:val="00D27170"/>
    <w:rsid w:val="00D27EDA"/>
    <w:rsid w:val="00D3071F"/>
    <w:rsid w:val="00D3275E"/>
    <w:rsid w:val="00D33BBA"/>
    <w:rsid w:val="00D40E7E"/>
    <w:rsid w:val="00D419A5"/>
    <w:rsid w:val="00D42FDD"/>
    <w:rsid w:val="00D44BD8"/>
    <w:rsid w:val="00D52F9C"/>
    <w:rsid w:val="00D54456"/>
    <w:rsid w:val="00D56229"/>
    <w:rsid w:val="00D562A8"/>
    <w:rsid w:val="00D57462"/>
    <w:rsid w:val="00D60C74"/>
    <w:rsid w:val="00D61E7D"/>
    <w:rsid w:val="00D645F0"/>
    <w:rsid w:val="00D654CA"/>
    <w:rsid w:val="00D65740"/>
    <w:rsid w:val="00D66A13"/>
    <w:rsid w:val="00D73A3F"/>
    <w:rsid w:val="00D74407"/>
    <w:rsid w:val="00D75233"/>
    <w:rsid w:val="00D774F6"/>
    <w:rsid w:val="00D77D65"/>
    <w:rsid w:val="00D82CD2"/>
    <w:rsid w:val="00D842F7"/>
    <w:rsid w:val="00D843D6"/>
    <w:rsid w:val="00D85B0C"/>
    <w:rsid w:val="00D91016"/>
    <w:rsid w:val="00D92293"/>
    <w:rsid w:val="00D932AE"/>
    <w:rsid w:val="00D95C7E"/>
    <w:rsid w:val="00D96CA2"/>
    <w:rsid w:val="00D96E08"/>
    <w:rsid w:val="00DA10FE"/>
    <w:rsid w:val="00DA435E"/>
    <w:rsid w:val="00DA4A2F"/>
    <w:rsid w:val="00DA5166"/>
    <w:rsid w:val="00DA5B7F"/>
    <w:rsid w:val="00DB0344"/>
    <w:rsid w:val="00DB0418"/>
    <w:rsid w:val="00DB06FF"/>
    <w:rsid w:val="00DB0F1B"/>
    <w:rsid w:val="00DB1103"/>
    <w:rsid w:val="00DB1ED2"/>
    <w:rsid w:val="00DC02A4"/>
    <w:rsid w:val="00DC12E5"/>
    <w:rsid w:val="00DC34F8"/>
    <w:rsid w:val="00DC5C94"/>
    <w:rsid w:val="00DC5E25"/>
    <w:rsid w:val="00DC69B7"/>
    <w:rsid w:val="00DD11EA"/>
    <w:rsid w:val="00DD3504"/>
    <w:rsid w:val="00DD574C"/>
    <w:rsid w:val="00DD5D52"/>
    <w:rsid w:val="00DE0E4F"/>
    <w:rsid w:val="00DE5763"/>
    <w:rsid w:val="00DE7907"/>
    <w:rsid w:val="00DF01E9"/>
    <w:rsid w:val="00DF2BF8"/>
    <w:rsid w:val="00DF304E"/>
    <w:rsid w:val="00DF323F"/>
    <w:rsid w:val="00DF3569"/>
    <w:rsid w:val="00E028D1"/>
    <w:rsid w:val="00E03A88"/>
    <w:rsid w:val="00E07BC9"/>
    <w:rsid w:val="00E15C1F"/>
    <w:rsid w:val="00E205C9"/>
    <w:rsid w:val="00E24200"/>
    <w:rsid w:val="00E2532A"/>
    <w:rsid w:val="00E26A24"/>
    <w:rsid w:val="00E27FFD"/>
    <w:rsid w:val="00E30491"/>
    <w:rsid w:val="00E3162C"/>
    <w:rsid w:val="00E318AB"/>
    <w:rsid w:val="00E325A7"/>
    <w:rsid w:val="00E34071"/>
    <w:rsid w:val="00E37742"/>
    <w:rsid w:val="00E4021C"/>
    <w:rsid w:val="00E40B17"/>
    <w:rsid w:val="00E41B57"/>
    <w:rsid w:val="00E422CB"/>
    <w:rsid w:val="00E42E92"/>
    <w:rsid w:val="00E52257"/>
    <w:rsid w:val="00E52A9B"/>
    <w:rsid w:val="00E60141"/>
    <w:rsid w:val="00E634DA"/>
    <w:rsid w:val="00E67DAE"/>
    <w:rsid w:val="00E725F1"/>
    <w:rsid w:val="00E73451"/>
    <w:rsid w:val="00E7459F"/>
    <w:rsid w:val="00E768B7"/>
    <w:rsid w:val="00E83989"/>
    <w:rsid w:val="00E85247"/>
    <w:rsid w:val="00E87990"/>
    <w:rsid w:val="00E879C5"/>
    <w:rsid w:val="00E927B6"/>
    <w:rsid w:val="00E92C85"/>
    <w:rsid w:val="00E93B18"/>
    <w:rsid w:val="00E957DB"/>
    <w:rsid w:val="00EB3E17"/>
    <w:rsid w:val="00EB422E"/>
    <w:rsid w:val="00EB48E8"/>
    <w:rsid w:val="00EB70FE"/>
    <w:rsid w:val="00EC0629"/>
    <w:rsid w:val="00EC1605"/>
    <w:rsid w:val="00EC263C"/>
    <w:rsid w:val="00EC4A1A"/>
    <w:rsid w:val="00EC74D4"/>
    <w:rsid w:val="00ED0070"/>
    <w:rsid w:val="00ED1876"/>
    <w:rsid w:val="00ED1FA7"/>
    <w:rsid w:val="00ED2489"/>
    <w:rsid w:val="00EE04E2"/>
    <w:rsid w:val="00EE0611"/>
    <w:rsid w:val="00EE73B7"/>
    <w:rsid w:val="00EF0C72"/>
    <w:rsid w:val="00EF3894"/>
    <w:rsid w:val="00EF4081"/>
    <w:rsid w:val="00EF4890"/>
    <w:rsid w:val="00EF5071"/>
    <w:rsid w:val="00F05A62"/>
    <w:rsid w:val="00F1044A"/>
    <w:rsid w:val="00F12915"/>
    <w:rsid w:val="00F148BF"/>
    <w:rsid w:val="00F16998"/>
    <w:rsid w:val="00F17E7E"/>
    <w:rsid w:val="00F20454"/>
    <w:rsid w:val="00F20556"/>
    <w:rsid w:val="00F20FC5"/>
    <w:rsid w:val="00F21786"/>
    <w:rsid w:val="00F21A0D"/>
    <w:rsid w:val="00F24EE7"/>
    <w:rsid w:val="00F2799B"/>
    <w:rsid w:val="00F313C2"/>
    <w:rsid w:val="00F33112"/>
    <w:rsid w:val="00F347E5"/>
    <w:rsid w:val="00F3489E"/>
    <w:rsid w:val="00F34B0D"/>
    <w:rsid w:val="00F36001"/>
    <w:rsid w:val="00F40CBA"/>
    <w:rsid w:val="00F40F4F"/>
    <w:rsid w:val="00F41F40"/>
    <w:rsid w:val="00F42DE4"/>
    <w:rsid w:val="00F432A6"/>
    <w:rsid w:val="00F44220"/>
    <w:rsid w:val="00F50081"/>
    <w:rsid w:val="00F54E77"/>
    <w:rsid w:val="00F60934"/>
    <w:rsid w:val="00F6149D"/>
    <w:rsid w:val="00F62372"/>
    <w:rsid w:val="00F71A62"/>
    <w:rsid w:val="00F735EC"/>
    <w:rsid w:val="00F738F5"/>
    <w:rsid w:val="00F74352"/>
    <w:rsid w:val="00F74838"/>
    <w:rsid w:val="00F74EDA"/>
    <w:rsid w:val="00F778BF"/>
    <w:rsid w:val="00F81064"/>
    <w:rsid w:val="00F820D2"/>
    <w:rsid w:val="00F85BE0"/>
    <w:rsid w:val="00F91F7A"/>
    <w:rsid w:val="00F93249"/>
    <w:rsid w:val="00F9345B"/>
    <w:rsid w:val="00F96BCE"/>
    <w:rsid w:val="00FA0585"/>
    <w:rsid w:val="00FA1A48"/>
    <w:rsid w:val="00FA2EC4"/>
    <w:rsid w:val="00FA35FD"/>
    <w:rsid w:val="00FA579F"/>
    <w:rsid w:val="00FA69D0"/>
    <w:rsid w:val="00FB0F6C"/>
    <w:rsid w:val="00FB38FB"/>
    <w:rsid w:val="00FB51C3"/>
    <w:rsid w:val="00FB571B"/>
    <w:rsid w:val="00FB5D2E"/>
    <w:rsid w:val="00FB61DD"/>
    <w:rsid w:val="00FB6386"/>
    <w:rsid w:val="00FB73B0"/>
    <w:rsid w:val="00FC3104"/>
    <w:rsid w:val="00FC32B5"/>
    <w:rsid w:val="00FC43C3"/>
    <w:rsid w:val="00FC6748"/>
    <w:rsid w:val="00FC7719"/>
    <w:rsid w:val="00FD00AD"/>
    <w:rsid w:val="00FD3F07"/>
    <w:rsid w:val="00FD4DDF"/>
    <w:rsid w:val="00FD4F1D"/>
    <w:rsid w:val="00FD57C6"/>
    <w:rsid w:val="00FD611F"/>
    <w:rsid w:val="00FD7DBC"/>
    <w:rsid w:val="00FD7FAE"/>
    <w:rsid w:val="00FE2878"/>
    <w:rsid w:val="00FE3E80"/>
    <w:rsid w:val="00FE4BFD"/>
    <w:rsid w:val="00FE50BF"/>
    <w:rsid w:val="00FE53F8"/>
    <w:rsid w:val="00FE5B34"/>
    <w:rsid w:val="00FE6272"/>
    <w:rsid w:val="00FF35AD"/>
    <w:rsid w:val="00FF3DAB"/>
    <w:rsid w:val="00FF5FC4"/>
    <w:rsid w:val="00FF6BA2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13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55F"/>
  </w:style>
  <w:style w:type="paragraph" w:styleId="Nagwek1">
    <w:name w:val="heading 1"/>
    <w:basedOn w:val="Normalny"/>
    <w:next w:val="Normalny"/>
    <w:link w:val="Nagwek1Znak"/>
    <w:uiPriority w:val="9"/>
    <w:qFormat/>
    <w:rsid w:val="00EF3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5D9"/>
  </w:style>
  <w:style w:type="paragraph" w:styleId="Stopka">
    <w:name w:val="footer"/>
    <w:basedOn w:val="Normalny"/>
    <w:link w:val="Stopka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5D9"/>
  </w:style>
  <w:style w:type="paragraph" w:styleId="Podtytu">
    <w:name w:val="Subtitle"/>
    <w:basedOn w:val="Normalny"/>
    <w:next w:val="Normalny"/>
    <w:link w:val="PodtytuZnak"/>
    <w:uiPriority w:val="11"/>
    <w:qFormat/>
    <w:rsid w:val="00A460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46045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59"/>
    <w:rsid w:val="00A4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46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F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3894"/>
    <w:pPr>
      <w:outlineLvl w:val="9"/>
    </w:pPr>
    <w:rPr>
      <w:lang w:eastAsia="pl-PL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,l,Dot"/>
    <w:basedOn w:val="Normalny"/>
    <w:link w:val="AkapitzlistZnak"/>
    <w:uiPriority w:val="34"/>
    <w:qFormat/>
    <w:rsid w:val="00A922E9"/>
    <w:pPr>
      <w:ind w:left="720"/>
      <w:contextualSpacing/>
    </w:pPr>
  </w:style>
  <w:style w:type="table" w:customStyle="1" w:styleId="Zwykatabela11">
    <w:name w:val="Zwykła tabela 11"/>
    <w:basedOn w:val="Standardowy"/>
    <w:uiPriority w:val="41"/>
    <w:rsid w:val="00422E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422E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D1619D"/>
    <w:pPr>
      <w:tabs>
        <w:tab w:val="left" w:pos="44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A975D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F313C2"/>
  </w:style>
  <w:style w:type="paragraph" w:customStyle="1" w:styleId="Default">
    <w:name w:val="Default"/>
    <w:rsid w:val="0062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C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6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1221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t-span">
    <w:name w:val="ct-span"/>
    <w:basedOn w:val="Domylnaczcionkaakapitu"/>
    <w:rsid w:val="00ED1876"/>
  </w:style>
  <w:style w:type="character" w:customStyle="1" w:styleId="hgkelc">
    <w:name w:val="hgkelc"/>
    <w:basedOn w:val="Domylnaczcionkaakapitu"/>
    <w:rsid w:val="009E2602"/>
  </w:style>
  <w:style w:type="character" w:styleId="Odwoaniedokomentarza">
    <w:name w:val="annotation reference"/>
    <w:basedOn w:val="Domylnaczcionkaakapitu"/>
    <w:uiPriority w:val="99"/>
    <w:semiHidden/>
    <w:unhideWhenUsed/>
    <w:rsid w:val="00214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4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4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3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30"/>
    <w:rPr>
      <w:rFonts w:ascii="Segoe UI" w:hAnsi="Segoe UI" w:cs="Segoe UI"/>
      <w:sz w:val="18"/>
      <w:szCs w:val="18"/>
    </w:rPr>
  </w:style>
  <w:style w:type="character" w:customStyle="1" w:styleId="has-pretty-child">
    <w:name w:val="has-pretty-child"/>
    <w:basedOn w:val="Domylnaczcionkaakapitu"/>
    <w:rsid w:val="009C1988"/>
  </w:style>
  <w:style w:type="character" w:customStyle="1" w:styleId="hps">
    <w:name w:val="hps"/>
    <w:basedOn w:val="Domylnaczcionkaakapitu"/>
    <w:rsid w:val="00443C34"/>
  </w:style>
  <w:style w:type="character" w:customStyle="1" w:styleId="TekstpodstawowyZnak">
    <w:name w:val="Tekst podstawowy Znak"/>
    <w:link w:val="Tekstpodstawowy1"/>
    <w:semiHidden/>
    <w:locked/>
    <w:rsid w:val="003956B0"/>
    <w:rPr>
      <w:lang w:eastAsia="pl-PL"/>
    </w:rPr>
  </w:style>
  <w:style w:type="paragraph" w:customStyle="1" w:styleId="Tekstpodstawowy1">
    <w:name w:val="Tekst podstawowy1"/>
    <w:basedOn w:val="Normalny"/>
    <w:link w:val="TekstpodstawowyZnak"/>
    <w:semiHidden/>
    <w:rsid w:val="003956B0"/>
    <w:pPr>
      <w:spacing w:after="0" w:line="240" w:lineRule="auto"/>
      <w:jc w:val="both"/>
    </w:pPr>
    <w:rPr>
      <w:lang w:eastAsia="pl-PL"/>
    </w:rPr>
  </w:style>
  <w:style w:type="paragraph" w:styleId="Poprawka">
    <w:name w:val="Revision"/>
    <w:hidden/>
    <w:uiPriority w:val="99"/>
    <w:semiHidden/>
    <w:rsid w:val="00096D7A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78F3"/>
    <w:rPr>
      <w:color w:val="605E5C"/>
      <w:shd w:val="clear" w:color="auto" w:fill="E1DFDD"/>
    </w:rPr>
  </w:style>
  <w:style w:type="character" w:customStyle="1" w:styleId="font-semibold">
    <w:name w:val="font-semibold"/>
    <w:basedOn w:val="Domylnaczcionkaakapitu"/>
    <w:rsid w:val="00CE207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D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BC52-E081-4327-BB7C-ADE47E96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13871</Words>
  <Characters>83226</Characters>
  <Application>Microsoft Office Word</Application>
  <DocSecurity>0</DocSecurity>
  <Lines>693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2025-10-06T13:24:00Z</dcterms:created>
  <dcterms:modified xsi:type="dcterms:W3CDTF">2025-11-21T19:48:00Z</dcterms:modified>
</cp:coreProperties>
</file>