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D1A" w:rsidRDefault="001B6D1A" w:rsidP="008B0DAF">
      <w:pPr>
        <w:spacing w:before="100" w:beforeAutospacing="1" w:after="120" w:line="276" w:lineRule="auto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29"/>
        <w:gridCol w:w="4643"/>
      </w:tblGrid>
      <w:tr w:rsidR="00A46045" w:rsidRPr="00AD3D25" w:rsidTr="001B6D1A">
        <w:tc>
          <w:tcPr>
            <w:tcW w:w="4429" w:type="dxa"/>
          </w:tcPr>
          <w:p w:rsidR="00A46045" w:rsidRPr="00081F39" w:rsidRDefault="00A46045" w:rsidP="008B0DAF">
            <w:pPr>
              <w:spacing w:before="100" w:beforeAutospacing="1" w:after="120" w:line="276" w:lineRule="auto"/>
              <w:rPr>
                <w:rFonts w:cstheme="minorHAnsi"/>
                <w:bCs/>
              </w:rPr>
            </w:pPr>
            <w:r w:rsidRPr="00081F39">
              <w:rPr>
                <w:rFonts w:cstheme="minorHAnsi"/>
                <w:bCs/>
              </w:rPr>
              <w:t xml:space="preserve">Numer sprawy:  </w:t>
            </w:r>
            <w:r w:rsidR="009A6982" w:rsidRPr="00084E8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ZP.272.0</w:t>
            </w:r>
            <w:r w:rsidR="002E73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="009A6982" w:rsidRPr="00084E8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</w:t>
            </w:r>
            <w:r w:rsidR="00FB12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  <w:p w:rsidR="00A46045" w:rsidRPr="00081F39" w:rsidRDefault="00A46045" w:rsidP="008B0DAF">
            <w:pPr>
              <w:spacing w:before="100" w:beforeAutospacing="1" w:after="120" w:line="276" w:lineRule="auto"/>
              <w:rPr>
                <w:rFonts w:cstheme="minorHAnsi"/>
                <w:bCs/>
              </w:rPr>
            </w:pPr>
          </w:p>
          <w:p w:rsidR="00A46045" w:rsidRDefault="00A46045" w:rsidP="008B0DAF">
            <w:pPr>
              <w:spacing w:before="100" w:beforeAutospacing="1" w:after="120" w:line="276" w:lineRule="auto"/>
              <w:rPr>
                <w:rFonts w:cstheme="minorHAnsi"/>
                <w:bCs/>
              </w:rPr>
            </w:pPr>
          </w:p>
          <w:p w:rsidR="00A46045" w:rsidRPr="00081F39" w:rsidRDefault="00A46045" w:rsidP="008B0DAF">
            <w:pPr>
              <w:spacing w:before="100" w:beforeAutospacing="1" w:after="120" w:line="276" w:lineRule="auto"/>
              <w:rPr>
                <w:rFonts w:cstheme="minorHAnsi"/>
                <w:bCs/>
              </w:rPr>
            </w:pPr>
          </w:p>
          <w:p w:rsidR="00A46045" w:rsidRPr="00081F39" w:rsidRDefault="00A46045" w:rsidP="008B0DAF">
            <w:pPr>
              <w:spacing w:before="100" w:beforeAutospacing="1" w:after="120" w:line="276" w:lineRule="auto"/>
              <w:rPr>
                <w:rFonts w:cstheme="minorHAnsi"/>
                <w:bCs/>
              </w:rPr>
            </w:pPr>
          </w:p>
        </w:tc>
        <w:tc>
          <w:tcPr>
            <w:tcW w:w="4643" w:type="dxa"/>
          </w:tcPr>
          <w:p w:rsidR="00A46045" w:rsidRPr="00081F39" w:rsidRDefault="00A46045" w:rsidP="009A6982">
            <w:pPr>
              <w:spacing w:before="100" w:beforeAutospacing="1" w:after="120" w:line="276" w:lineRule="auto"/>
              <w:jc w:val="right"/>
              <w:rPr>
                <w:rFonts w:cstheme="minorHAnsi"/>
              </w:rPr>
            </w:pPr>
          </w:p>
        </w:tc>
      </w:tr>
      <w:tr w:rsidR="00A46045" w:rsidRPr="00AD3D25" w:rsidTr="001B6D1A">
        <w:tc>
          <w:tcPr>
            <w:tcW w:w="9072" w:type="dxa"/>
            <w:gridSpan w:val="2"/>
            <w:vAlign w:val="center"/>
          </w:tcPr>
          <w:p w:rsidR="00A46045" w:rsidRPr="000F1009" w:rsidRDefault="00A46045" w:rsidP="008B0DAF">
            <w:pPr>
              <w:spacing w:before="100" w:beforeAutospacing="1" w:after="120" w:line="276" w:lineRule="auto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A46045">
              <w:rPr>
                <w:sz w:val="44"/>
                <w:szCs w:val="44"/>
              </w:rPr>
              <w:t>Szczegółowy Opis Przedmiotu Zamówienia</w:t>
            </w:r>
            <w:r w:rsidR="009F060A">
              <w:rPr>
                <w:sz w:val="44"/>
                <w:szCs w:val="44"/>
              </w:rPr>
              <w:t xml:space="preserve"> </w:t>
            </w:r>
          </w:p>
          <w:p w:rsidR="00A46045" w:rsidRDefault="00A46045" w:rsidP="008B0DAF">
            <w:pPr>
              <w:spacing w:before="100" w:beforeAutospacing="1" w:after="120" w:line="276" w:lineRule="auto"/>
              <w:jc w:val="center"/>
              <w:rPr>
                <w:sz w:val="28"/>
                <w:szCs w:val="28"/>
              </w:rPr>
            </w:pPr>
          </w:p>
          <w:p w:rsidR="00A46045" w:rsidRPr="00A46045" w:rsidRDefault="00A46045" w:rsidP="000A09CA">
            <w:pPr>
              <w:spacing w:before="100" w:beforeAutospacing="1" w:after="120" w:line="276" w:lineRule="auto"/>
              <w:jc w:val="center"/>
              <w:rPr>
                <w:sz w:val="28"/>
                <w:szCs w:val="28"/>
              </w:rPr>
            </w:pPr>
            <w:r w:rsidRPr="00A46045">
              <w:rPr>
                <w:sz w:val="28"/>
                <w:szCs w:val="28"/>
              </w:rPr>
              <w:t xml:space="preserve">na </w:t>
            </w:r>
            <w:bookmarkStart w:id="0" w:name="_Hlk96781142"/>
            <w:r w:rsidRPr="00A46045">
              <w:rPr>
                <w:sz w:val="28"/>
                <w:szCs w:val="28"/>
              </w:rPr>
              <w:t>dostaw</w:t>
            </w:r>
            <w:r w:rsidR="00A0646F">
              <w:rPr>
                <w:sz w:val="28"/>
                <w:szCs w:val="28"/>
              </w:rPr>
              <w:t>ę</w:t>
            </w:r>
            <w:r w:rsidRPr="00A46045">
              <w:rPr>
                <w:sz w:val="28"/>
                <w:szCs w:val="28"/>
              </w:rPr>
              <w:t xml:space="preserve"> </w:t>
            </w:r>
            <w:r w:rsidR="00C059B9">
              <w:rPr>
                <w:sz w:val="28"/>
                <w:szCs w:val="28"/>
              </w:rPr>
              <w:t xml:space="preserve">sprzętu i oprogramowania informatycznego </w:t>
            </w:r>
            <w:r w:rsidR="00A0646F">
              <w:rPr>
                <w:sz w:val="28"/>
                <w:szCs w:val="28"/>
              </w:rPr>
              <w:t>związaną</w:t>
            </w:r>
            <w:r w:rsidRPr="00A46045">
              <w:rPr>
                <w:sz w:val="28"/>
                <w:szCs w:val="28"/>
              </w:rPr>
              <w:t xml:space="preserve"> z realizacją </w:t>
            </w:r>
            <w:r w:rsidR="00A0646F">
              <w:rPr>
                <w:sz w:val="28"/>
                <w:szCs w:val="28"/>
              </w:rPr>
              <w:t xml:space="preserve">grantu w ramach </w:t>
            </w:r>
            <w:r w:rsidR="007434EC">
              <w:rPr>
                <w:sz w:val="28"/>
                <w:szCs w:val="28"/>
              </w:rPr>
              <w:t>projektu</w:t>
            </w:r>
            <w:r w:rsidR="000A09CA">
              <w:rPr>
                <w:sz w:val="28"/>
                <w:szCs w:val="28"/>
              </w:rPr>
              <w:t xml:space="preserve"> </w:t>
            </w:r>
            <w:r w:rsidRPr="00A46045">
              <w:rPr>
                <w:sz w:val="28"/>
                <w:szCs w:val="28"/>
              </w:rPr>
              <w:t>„</w:t>
            </w:r>
            <w:r w:rsidR="000617BB">
              <w:rPr>
                <w:sz w:val="28"/>
                <w:szCs w:val="28"/>
              </w:rPr>
              <w:t>Cyberbezpieczny Samorząd</w:t>
            </w:r>
            <w:r w:rsidRPr="00A46045">
              <w:rPr>
                <w:sz w:val="28"/>
                <w:szCs w:val="28"/>
              </w:rPr>
              <w:t>”</w:t>
            </w:r>
          </w:p>
          <w:bookmarkEnd w:id="0"/>
          <w:p w:rsidR="00A46045" w:rsidRPr="00AD3D25" w:rsidRDefault="00A46045" w:rsidP="008B0DAF">
            <w:pPr>
              <w:spacing w:before="100" w:beforeAutospacing="1" w:after="12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A46045" w:rsidRDefault="00A46045" w:rsidP="008B0DAF">
      <w:pPr>
        <w:spacing w:before="100" w:beforeAutospacing="1" w:after="120" w:line="276" w:lineRule="auto"/>
        <w:jc w:val="right"/>
      </w:pPr>
    </w:p>
    <w:p w:rsidR="00A46045" w:rsidRDefault="00A46045" w:rsidP="008B0DAF">
      <w:pPr>
        <w:spacing w:before="100" w:beforeAutospacing="1" w:after="120" w:line="276" w:lineRule="auto"/>
      </w:pPr>
      <w: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84289502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EF3894" w:rsidRDefault="00EF3894" w:rsidP="008B0DAF">
          <w:pPr>
            <w:pStyle w:val="Nagwekspisutreci"/>
            <w:spacing w:before="100" w:beforeAutospacing="1" w:after="120" w:line="276" w:lineRule="auto"/>
          </w:pPr>
          <w:r>
            <w:t>Spis treści</w:t>
          </w:r>
        </w:p>
        <w:p w:rsidR="004D0E67" w:rsidRDefault="003E38AD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</w:rPr>
          </w:pPr>
          <w:r w:rsidRPr="003E38AD">
            <w:fldChar w:fldCharType="begin"/>
          </w:r>
          <w:r w:rsidR="00EF3894">
            <w:instrText xml:space="preserve"> TOC \o "1-3" \h \z \u </w:instrText>
          </w:r>
          <w:r w:rsidRPr="003E38AD">
            <w:fldChar w:fldCharType="separate"/>
          </w:r>
          <w:hyperlink w:anchor="_Toc210373434" w:history="1">
            <w:r w:rsidR="004D0E67" w:rsidRPr="007B5765">
              <w:rPr>
                <w:rStyle w:val="Hipercze"/>
                <w:noProof/>
              </w:rPr>
              <w:t>1.</w:t>
            </w:r>
            <w:r w:rsidR="004D0E67"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</w:rPr>
              <w:tab/>
            </w:r>
            <w:r w:rsidR="004D0E67" w:rsidRPr="007B5765">
              <w:rPr>
                <w:rStyle w:val="Hipercze"/>
                <w:noProof/>
              </w:rPr>
              <w:t>Zestawienie ilościowe.</w:t>
            </w:r>
            <w:r w:rsidR="004D0E6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D0E67">
              <w:rPr>
                <w:noProof/>
                <w:webHidden/>
              </w:rPr>
              <w:instrText xml:space="preserve"> PAGEREF _Toc210373434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D0E67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D0E67" w:rsidRDefault="003E38AD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</w:rPr>
          </w:pPr>
          <w:hyperlink w:anchor="_Toc210373435" w:history="1">
            <w:r w:rsidR="004D0E67" w:rsidRPr="007B5765">
              <w:rPr>
                <w:rStyle w:val="Hipercze"/>
                <w:noProof/>
              </w:rPr>
              <w:t>2.</w:t>
            </w:r>
            <w:r w:rsidR="004D0E67"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</w:rPr>
              <w:tab/>
            </w:r>
            <w:r w:rsidR="004D0E67" w:rsidRPr="007B5765">
              <w:rPr>
                <w:rStyle w:val="Hipercze"/>
                <w:noProof/>
              </w:rPr>
              <w:t>Zasada równoważności rozwiązań i neutralności technologicznej.</w:t>
            </w:r>
            <w:r w:rsidR="004D0E6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D0E67">
              <w:rPr>
                <w:noProof/>
                <w:webHidden/>
              </w:rPr>
              <w:instrText xml:space="preserve"> PAGEREF _Toc210373435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D0E67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D0E67" w:rsidRDefault="003E38AD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</w:rPr>
          </w:pPr>
          <w:hyperlink w:anchor="_Toc210373436" w:history="1">
            <w:r w:rsidR="004D0E67" w:rsidRPr="007B5765">
              <w:rPr>
                <w:rStyle w:val="Hipercze"/>
                <w:noProof/>
              </w:rPr>
              <w:t>3.</w:t>
            </w:r>
            <w:r w:rsidR="004D0E67"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</w:rPr>
              <w:tab/>
            </w:r>
            <w:r w:rsidR="004D0E67" w:rsidRPr="007B5765">
              <w:rPr>
                <w:rStyle w:val="Hipercze"/>
                <w:noProof/>
              </w:rPr>
              <w:t>Przedmiot zamówienia .</w:t>
            </w:r>
            <w:r w:rsidR="004D0E6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D0E67">
              <w:rPr>
                <w:noProof/>
                <w:webHidden/>
              </w:rPr>
              <w:instrText xml:space="preserve"> PAGEREF _Toc210373436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D0E67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D0E67" w:rsidRDefault="003E38AD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</w:rPr>
          </w:pPr>
          <w:hyperlink w:anchor="_Toc210373437" w:history="1">
            <w:r w:rsidR="004D0E67" w:rsidRPr="007B5765">
              <w:rPr>
                <w:rStyle w:val="Hipercze"/>
                <w:noProof/>
              </w:rPr>
              <w:t>3.1.</w:t>
            </w:r>
            <w:r w:rsidR="004D0E67"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</w:rPr>
              <w:tab/>
            </w:r>
            <w:r w:rsidR="004D0E67" w:rsidRPr="007B5765">
              <w:rPr>
                <w:rStyle w:val="Hipercze"/>
                <w:noProof/>
              </w:rPr>
              <w:t>Wymagania ogólne.</w:t>
            </w:r>
            <w:r w:rsidR="004D0E6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D0E67">
              <w:rPr>
                <w:noProof/>
                <w:webHidden/>
              </w:rPr>
              <w:instrText xml:space="preserve"> PAGEREF _Toc210373437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D0E67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D0E67" w:rsidRDefault="003E38AD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</w:rPr>
          </w:pPr>
          <w:hyperlink w:anchor="_Toc210373438" w:history="1">
            <w:r w:rsidR="004D0E67" w:rsidRPr="007B5765">
              <w:rPr>
                <w:rStyle w:val="Hipercze"/>
                <w:noProof/>
              </w:rPr>
              <w:t>3.2.</w:t>
            </w:r>
            <w:r w:rsidR="004D0E67"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</w:rPr>
              <w:tab/>
            </w:r>
            <w:r w:rsidR="004D0E67" w:rsidRPr="007B5765">
              <w:rPr>
                <w:rStyle w:val="Hipercze"/>
                <w:noProof/>
              </w:rPr>
              <w:t>Zakup serwera (1 szt.).</w:t>
            </w:r>
            <w:r w:rsidR="004D0E6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D0E67">
              <w:rPr>
                <w:noProof/>
                <w:webHidden/>
              </w:rPr>
              <w:instrText xml:space="preserve"> PAGEREF _Toc210373438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D0E67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D0E67" w:rsidRDefault="003E38AD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</w:rPr>
          </w:pPr>
          <w:hyperlink w:anchor="_Toc210373439" w:history="1">
            <w:r w:rsidR="004D0E67" w:rsidRPr="007B5765">
              <w:rPr>
                <w:rStyle w:val="Hipercze"/>
                <w:noProof/>
              </w:rPr>
              <w:t>3.3.</w:t>
            </w:r>
            <w:r w:rsidR="004D0E67"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</w:rPr>
              <w:tab/>
            </w:r>
            <w:r w:rsidR="004D0E67" w:rsidRPr="007B5765">
              <w:rPr>
                <w:rStyle w:val="Hipercze"/>
                <w:noProof/>
              </w:rPr>
              <w:t>Zakup macierzy (1 szt.).</w:t>
            </w:r>
            <w:r w:rsidR="004D0E6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D0E67">
              <w:rPr>
                <w:noProof/>
                <w:webHidden/>
              </w:rPr>
              <w:instrText xml:space="preserve"> PAGEREF _Toc210373439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D0E67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D0E67" w:rsidRDefault="003E38AD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</w:rPr>
          </w:pPr>
          <w:hyperlink w:anchor="_Toc210373440" w:history="1">
            <w:r w:rsidR="004D0E67" w:rsidRPr="007B5765">
              <w:rPr>
                <w:rStyle w:val="Hipercze"/>
                <w:noProof/>
              </w:rPr>
              <w:t>3.4.</w:t>
            </w:r>
            <w:r w:rsidR="004D0E67"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</w:rPr>
              <w:tab/>
            </w:r>
            <w:r w:rsidR="004D0E67" w:rsidRPr="007B5765">
              <w:rPr>
                <w:rStyle w:val="Hipercze"/>
                <w:noProof/>
              </w:rPr>
              <w:t>Zakup UPS (1 szt.).</w:t>
            </w:r>
            <w:r w:rsidR="004D0E6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D0E67">
              <w:rPr>
                <w:noProof/>
                <w:webHidden/>
              </w:rPr>
              <w:instrText xml:space="preserve"> PAGEREF _Toc210373440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D0E67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D0E67" w:rsidRDefault="003E38AD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</w:rPr>
          </w:pPr>
          <w:hyperlink w:anchor="_Toc210373441" w:history="1">
            <w:r w:rsidR="004D0E67" w:rsidRPr="007B5765">
              <w:rPr>
                <w:rStyle w:val="Hipercze"/>
                <w:noProof/>
              </w:rPr>
              <w:t>3.5.</w:t>
            </w:r>
            <w:r w:rsidR="004D0E67"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</w:rPr>
              <w:tab/>
            </w:r>
            <w:r w:rsidR="004D0E67" w:rsidRPr="007B5765">
              <w:rPr>
                <w:rStyle w:val="Hipercze"/>
                <w:noProof/>
              </w:rPr>
              <w:t>Zakup UTM (1 szt.).</w:t>
            </w:r>
            <w:r w:rsidR="004D0E6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D0E67">
              <w:rPr>
                <w:noProof/>
                <w:webHidden/>
              </w:rPr>
              <w:instrText xml:space="preserve"> PAGEREF _Toc210373441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D0E67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F3894" w:rsidRDefault="003E38AD" w:rsidP="008B0DAF">
          <w:pPr>
            <w:pStyle w:val="Spistreci1"/>
            <w:tabs>
              <w:tab w:val="left" w:pos="720"/>
            </w:tabs>
            <w:spacing w:before="100" w:beforeAutospacing="1" w:after="120" w:line="276" w:lineRule="auto"/>
          </w:pPr>
          <w:r>
            <w:rPr>
              <w:b/>
              <w:bCs/>
            </w:rPr>
            <w:fldChar w:fldCharType="end"/>
          </w:r>
        </w:p>
      </w:sdtContent>
    </w:sdt>
    <w:p w:rsidR="00EF3894" w:rsidRDefault="00EF3894" w:rsidP="008B0DAF">
      <w:pPr>
        <w:spacing w:before="100" w:beforeAutospacing="1" w:after="120" w:line="276" w:lineRule="auto"/>
        <w:rPr>
          <w:sz w:val="44"/>
          <w:szCs w:val="44"/>
        </w:rPr>
      </w:pPr>
      <w:r>
        <w:rPr>
          <w:sz w:val="44"/>
          <w:szCs w:val="44"/>
        </w:rPr>
        <w:br w:type="page"/>
      </w:r>
    </w:p>
    <w:p w:rsidR="00A46045" w:rsidRDefault="00A922E9" w:rsidP="008B0DAF">
      <w:pPr>
        <w:pStyle w:val="Nagwek1"/>
        <w:numPr>
          <w:ilvl w:val="0"/>
          <w:numId w:val="1"/>
        </w:numPr>
        <w:spacing w:before="100" w:beforeAutospacing="1" w:after="120" w:line="276" w:lineRule="auto"/>
      </w:pPr>
      <w:bookmarkStart w:id="1" w:name="_Toc210373434"/>
      <w:r>
        <w:lastRenderedPageBreak/>
        <w:t>Zestawienie ilościowe.</w:t>
      </w:r>
      <w:bookmarkEnd w:id="1"/>
    </w:p>
    <w:p w:rsidR="0056145F" w:rsidRDefault="0056145F" w:rsidP="008B0DAF">
      <w:pPr>
        <w:spacing w:before="100" w:beforeAutospacing="1" w:after="120" w:line="276" w:lineRule="auto"/>
        <w:jc w:val="both"/>
        <w:rPr>
          <w:rFonts w:cstheme="minorHAnsi"/>
        </w:rPr>
      </w:pPr>
      <w:r>
        <w:rPr>
          <w:rFonts w:cstheme="minorHAnsi"/>
        </w:rPr>
        <w:t>Dostawa sprzętu i oprogramowania informatycznego.</w:t>
      </w:r>
    </w:p>
    <w:tbl>
      <w:tblPr>
        <w:tblStyle w:val="Tabela-Siatka"/>
        <w:tblW w:w="0" w:type="auto"/>
        <w:tblLook w:val="04A0"/>
      </w:tblPr>
      <w:tblGrid>
        <w:gridCol w:w="495"/>
        <w:gridCol w:w="6304"/>
        <w:gridCol w:w="2263"/>
      </w:tblGrid>
      <w:tr w:rsidR="0056145F" w:rsidTr="003C5497">
        <w:trPr>
          <w:trHeight w:val="504"/>
        </w:trPr>
        <w:tc>
          <w:tcPr>
            <w:tcW w:w="495" w:type="dxa"/>
            <w:shd w:val="clear" w:color="auto" w:fill="D9D9D9" w:themeFill="background1" w:themeFillShade="D9"/>
            <w:vAlign w:val="center"/>
          </w:tcPr>
          <w:p w:rsidR="0056145F" w:rsidRDefault="0056145F" w:rsidP="008B0DAF">
            <w:pPr>
              <w:spacing w:before="100" w:beforeAutospacing="1" w:after="120" w:line="276" w:lineRule="auto"/>
              <w:jc w:val="center"/>
            </w:pPr>
            <w:r>
              <w:t>Lp.</w:t>
            </w:r>
          </w:p>
        </w:tc>
        <w:tc>
          <w:tcPr>
            <w:tcW w:w="6304" w:type="dxa"/>
            <w:shd w:val="clear" w:color="auto" w:fill="D9D9D9" w:themeFill="background1" w:themeFillShade="D9"/>
            <w:vAlign w:val="center"/>
          </w:tcPr>
          <w:p w:rsidR="0056145F" w:rsidRDefault="0056145F" w:rsidP="008B0DAF">
            <w:pPr>
              <w:spacing w:before="100" w:beforeAutospacing="1" w:after="120" w:line="276" w:lineRule="auto"/>
              <w:jc w:val="center"/>
            </w:pPr>
            <w:r>
              <w:t>Nazwa</w:t>
            </w:r>
          </w:p>
        </w:tc>
        <w:tc>
          <w:tcPr>
            <w:tcW w:w="2263" w:type="dxa"/>
            <w:shd w:val="clear" w:color="auto" w:fill="D9D9D9" w:themeFill="background1" w:themeFillShade="D9"/>
            <w:vAlign w:val="center"/>
          </w:tcPr>
          <w:p w:rsidR="0056145F" w:rsidRDefault="0056145F" w:rsidP="008B0DAF">
            <w:pPr>
              <w:spacing w:before="100" w:beforeAutospacing="1" w:after="120" w:line="276" w:lineRule="auto"/>
              <w:jc w:val="center"/>
            </w:pPr>
            <w:r>
              <w:t>Ilość</w:t>
            </w:r>
          </w:p>
        </w:tc>
      </w:tr>
      <w:tr w:rsidR="00062C37" w:rsidTr="003C5497">
        <w:tc>
          <w:tcPr>
            <w:tcW w:w="495" w:type="dxa"/>
          </w:tcPr>
          <w:p w:rsidR="00062C37" w:rsidRDefault="00062C37" w:rsidP="00062C37">
            <w:pPr>
              <w:spacing w:before="100" w:beforeAutospacing="1" w:after="120" w:line="276" w:lineRule="auto"/>
            </w:pPr>
            <w:r>
              <w:t>1.</w:t>
            </w:r>
          </w:p>
        </w:tc>
        <w:tc>
          <w:tcPr>
            <w:tcW w:w="6304" w:type="dxa"/>
          </w:tcPr>
          <w:p w:rsidR="00062C37" w:rsidRDefault="00062C37" w:rsidP="00062C37">
            <w:pPr>
              <w:spacing w:before="100" w:beforeAutospacing="1" w:after="120" w:line="276" w:lineRule="auto"/>
            </w:pPr>
            <w:r w:rsidRPr="002D57F5">
              <w:t>Zakup serwera</w:t>
            </w:r>
          </w:p>
        </w:tc>
        <w:tc>
          <w:tcPr>
            <w:tcW w:w="2263" w:type="dxa"/>
            <w:vAlign w:val="center"/>
          </w:tcPr>
          <w:p w:rsidR="00062C37" w:rsidRDefault="00062C37" w:rsidP="00062C37">
            <w:pPr>
              <w:spacing w:before="100" w:beforeAutospacing="1" w:after="120" w:line="276" w:lineRule="auto"/>
              <w:jc w:val="center"/>
            </w:pPr>
            <w:r>
              <w:t>1 szt.</w:t>
            </w:r>
          </w:p>
        </w:tc>
      </w:tr>
      <w:tr w:rsidR="00062C37" w:rsidTr="003C5497">
        <w:tc>
          <w:tcPr>
            <w:tcW w:w="495" w:type="dxa"/>
          </w:tcPr>
          <w:p w:rsidR="00062C37" w:rsidRDefault="00062C37" w:rsidP="00062C37">
            <w:pPr>
              <w:spacing w:before="100" w:beforeAutospacing="1" w:after="120" w:line="276" w:lineRule="auto"/>
            </w:pPr>
            <w:bookmarkStart w:id="2" w:name="_Hlk210371595"/>
            <w:r>
              <w:t>2.</w:t>
            </w:r>
          </w:p>
        </w:tc>
        <w:tc>
          <w:tcPr>
            <w:tcW w:w="6304" w:type="dxa"/>
          </w:tcPr>
          <w:p w:rsidR="00062C37" w:rsidRDefault="00062C37" w:rsidP="00062C37">
            <w:pPr>
              <w:spacing w:before="100" w:beforeAutospacing="1" w:after="120" w:line="276" w:lineRule="auto"/>
            </w:pPr>
            <w:r w:rsidRPr="002D57F5">
              <w:t>Zakup macierzy</w:t>
            </w:r>
          </w:p>
        </w:tc>
        <w:tc>
          <w:tcPr>
            <w:tcW w:w="2263" w:type="dxa"/>
          </w:tcPr>
          <w:p w:rsidR="00062C37" w:rsidRDefault="00062C37" w:rsidP="00062C37">
            <w:pPr>
              <w:spacing w:before="100" w:beforeAutospacing="1" w:after="120" w:line="276" w:lineRule="auto"/>
              <w:jc w:val="center"/>
            </w:pPr>
            <w:r w:rsidRPr="00B32683">
              <w:t>1 szt.</w:t>
            </w:r>
          </w:p>
        </w:tc>
      </w:tr>
      <w:tr w:rsidR="00062C37" w:rsidTr="003C5497">
        <w:tc>
          <w:tcPr>
            <w:tcW w:w="495" w:type="dxa"/>
          </w:tcPr>
          <w:p w:rsidR="00062C37" w:rsidRDefault="00062C37" w:rsidP="00062C37">
            <w:pPr>
              <w:spacing w:before="100" w:beforeAutospacing="1" w:after="120" w:line="276" w:lineRule="auto"/>
            </w:pPr>
            <w:r>
              <w:t>3.</w:t>
            </w:r>
          </w:p>
        </w:tc>
        <w:tc>
          <w:tcPr>
            <w:tcW w:w="6304" w:type="dxa"/>
          </w:tcPr>
          <w:p w:rsidR="00062C37" w:rsidRPr="0076747E" w:rsidRDefault="00062C37" w:rsidP="00062C37">
            <w:pPr>
              <w:spacing w:before="100" w:beforeAutospacing="1" w:after="120" w:line="276" w:lineRule="auto"/>
            </w:pPr>
            <w:r w:rsidRPr="002D57F5">
              <w:t>Zakup UPS</w:t>
            </w:r>
          </w:p>
        </w:tc>
        <w:tc>
          <w:tcPr>
            <w:tcW w:w="2263" w:type="dxa"/>
          </w:tcPr>
          <w:p w:rsidR="00062C37" w:rsidRDefault="00062C37" w:rsidP="00062C37">
            <w:pPr>
              <w:spacing w:before="100" w:beforeAutospacing="1" w:after="120" w:line="276" w:lineRule="auto"/>
              <w:jc w:val="center"/>
            </w:pPr>
            <w:r w:rsidRPr="00B32683">
              <w:t>1 szt.</w:t>
            </w:r>
          </w:p>
        </w:tc>
      </w:tr>
      <w:tr w:rsidR="00062C37" w:rsidTr="003C5497">
        <w:tc>
          <w:tcPr>
            <w:tcW w:w="495" w:type="dxa"/>
          </w:tcPr>
          <w:p w:rsidR="00062C37" w:rsidRDefault="00062C37" w:rsidP="00062C37">
            <w:pPr>
              <w:spacing w:before="100" w:beforeAutospacing="1" w:after="120" w:line="276" w:lineRule="auto"/>
            </w:pPr>
            <w:r>
              <w:t>4.</w:t>
            </w:r>
          </w:p>
        </w:tc>
        <w:tc>
          <w:tcPr>
            <w:tcW w:w="6304" w:type="dxa"/>
          </w:tcPr>
          <w:p w:rsidR="00062C37" w:rsidRDefault="00062C37" w:rsidP="00062C37">
            <w:pPr>
              <w:spacing w:before="100" w:beforeAutospacing="1" w:after="120" w:line="276" w:lineRule="auto"/>
            </w:pPr>
            <w:r w:rsidRPr="002D57F5">
              <w:t>Zakup UTM</w:t>
            </w:r>
          </w:p>
        </w:tc>
        <w:tc>
          <w:tcPr>
            <w:tcW w:w="2263" w:type="dxa"/>
          </w:tcPr>
          <w:p w:rsidR="00062C37" w:rsidRDefault="00062C37" w:rsidP="00062C37">
            <w:pPr>
              <w:spacing w:before="100" w:beforeAutospacing="1" w:after="120" w:line="276" w:lineRule="auto"/>
              <w:jc w:val="center"/>
            </w:pPr>
            <w:r w:rsidRPr="00B32683">
              <w:t>1 szt.</w:t>
            </w:r>
          </w:p>
        </w:tc>
      </w:tr>
    </w:tbl>
    <w:p w:rsidR="003A7C6B" w:rsidRDefault="003A7C6B" w:rsidP="008B0DAF">
      <w:pPr>
        <w:pStyle w:val="Nagwek1"/>
        <w:numPr>
          <w:ilvl w:val="0"/>
          <w:numId w:val="1"/>
        </w:numPr>
        <w:spacing w:before="100" w:beforeAutospacing="1" w:after="120" w:line="276" w:lineRule="auto"/>
      </w:pPr>
      <w:bookmarkStart w:id="3" w:name="_Toc95157232"/>
      <w:bookmarkStart w:id="4" w:name="_Toc210373435"/>
      <w:bookmarkEnd w:id="2"/>
      <w:r>
        <w:t>Zasada równoważności rozwiązań i neutralności technologicznej.</w:t>
      </w:r>
      <w:bookmarkEnd w:id="3"/>
      <w:bookmarkEnd w:id="4"/>
    </w:p>
    <w:p w:rsidR="003A7C6B" w:rsidRPr="00E205C9" w:rsidRDefault="003A7C6B" w:rsidP="009E0B02">
      <w:pPr>
        <w:pStyle w:val="Akapitzlist"/>
        <w:numPr>
          <w:ilvl w:val="0"/>
          <w:numId w:val="2"/>
        </w:numPr>
        <w:spacing w:before="100" w:beforeAutospacing="1" w:after="120" w:line="276" w:lineRule="auto"/>
        <w:ind w:right="72"/>
        <w:jc w:val="both"/>
      </w:pPr>
      <w:r w:rsidRPr="00E205C9">
        <w:t xml:space="preserve">Za równoważne do wyspecyfikowanego rozwiązania Zamawiający uzna rozwiązanie o tym samym przeznaczeniu, cechach technicznych, jakościowych i funkcjonalnych odpowiadających cechom technicznym, jakościowym i funkcjonalnym wskazanych w opisie przedmiotu zamówienia, lub lepszych, oznaczonych innym znakiem towarowym, patentem lub pochodzeniem. </w:t>
      </w:r>
    </w:p>
    <w:p w:rsidR="003A7C6B" w:rsidRPr="00E205C9" w:rsidRDefault="003A7C6B" w:rsidP="009E0B02">
      <w:pPr>
        <w:pStyle w:val="Akapitzlist"/>
        <w:numPr>
          <w:ilvl w:val="0"/>
          <w:numId w:val="2"/>
        </w:numPr>
        <w:spacing w:before="100" w:beforeAutospacing="1" w:after="120" w:line="276" w:lineRule="auto"/>
        <w:ind w:right="72"/>
        <w:jc w:val="both"/>
      </w:pPr>
      <w:r w:rsidRPr="00E205C9">
        <w:t xml:space="preserve">Rozwiązanie równoważne musi pozwalać na zrealizowanie zakładanego przez Zamawiającego celu poprzez parametry wydajnościowe i funkcjonalne, mające wpływ na skuteczność działania, takie same lub lepsze od wskazanych wymagań minimalnych. </w:t>
      </w:r>
    </w:p>
    <w:p w:rsidR="003A7C6B" w:rsidRPr="00E205C9" w:rsidRDefault="003A7C6B" w:rsidP="009E0B02">
      <w:pPr>
        <w:pStyle w:val="Akapitzlist"/>
        <w:numPr>
          <w:ilvl w:val="0"/>
          <w:numId w:val="2"/>
        </w:numPr>
        <w:spacing w:before="100" w:beforeAutospacing="1" w:after="120" w:line="276" w:lineRule="auto"/>
        <w:ind w:right="72"/>
        <w:jc w:val="both"/>
      </w:pPr>
      <w:r w:rsidRPr="00E205C9">
        <w:t>Użycie w opisie przedmiotu zamówienia nazw rozwiązań</w:t>
      </w:r>
      <w:r>
        <w:t xml:space="preserve"> </w:t>
      </w:r>
      <w:r w:rsidRPr="00E205C9">
        <w:t>służy ustaleniu minimalnego standardu wykonania i określenia właściwości i wymogów technicznych założonych w dokumentacji technicznej dla projektowanych rozwiązań</w:t>
      </w:r>
      <w:r>
        <w:t xml:space="preserve"> lub też stosowane jest w celu wskazania aktualnie użytkowanego środowiska Zamawiającego, z którym rozwiązanie równoważne powinno być kompatybilne.</w:t>
      </w:r>
    </w:p>
    <w:p w:rsidR="003A7C6B" w:rsidRPr="00E205C9" w:rsidRDefault="003A7C6B" w:rsidP="009E0B02">
      <w:pPr>
        <w:pStyle w:val="Akapitzlist"/>
        <w:numPr>
          <w:ilvl w:val="0"/>
          <w:numId w:val="2"/>
        </w:numPr>
        <w:spacing w:before="100" w:beforeAutospacing="1" w:after="120" w:line="276" w:lineRule="auto"/>
        <w:ind w:right="72"/>
        <w:jc w:val="both"/>
      </w:pPr>
      <w:r w:rsidRPr="00E205C9">
        <w:t xml:space="preserve">Wykonawca zobligowany jest do wykazania, że oferowane rozwiązania równoważne spełnią zakładane wymagania minimalne. </w:t>
      </w:r>
      <w:r>
        <w:t>Wykonawca, który złoży ofertę na produkty równoważne musi do oferty załączyć dokumenty zawierające dokładny opis oferowanych produktów, z którego wynikać będzie zachowanie warunków równoważności. Wykonawca, który posługuje się równoważnymi certyfikatami musi je załączyć do oferty. Przez certyfikat równoważny Zamawiający rozumie certyfikat analogiczny co do zakresu z certyfikatami wskazanymi z nazwy, który potwierdza spełnianie normy charakteryzującej się cechami właściwymi dla normy wymienionej przez Zamawiającego, wystawiony przez niezależny podmiot uprawniony do wystawiania certyfikatów.</w:t>
      </w:r>
    </w:p>
    <w:p w:rsidR="003A7C6B" w:rsidRPr="00E205C9" w:rsidRDefault="003A7C6B" w:rsidP="009E0B02">
      <w:pPr>
        <w:pStyle w:val="Akapitzlist"/>
        <w:numPr>
          <w:ilvl w:val="0"/>
          <w:numId w:val="2"/>
        </w:numPr>
        <w:spacing w:before="100" w:beforeAutospacing="1" w:after="120" w:line="276" w:lineRule="auto"/>
        <w:ind w:right="72"/>
        <w:jc w:val="both"/>
      </w:pPr>
      <w:r w:rsidRPr="00E205C9">
        <w:t>Brak określenia „minimum” oznacza wymaganie na poziomie minimalnym, a Wykonawca może zaoferować rozwiązanie o lepszych parametrach.</w:t>
      </w:r>
    </w:p>
    <w:p w:rsidR="003A7C6B" w:rsidRPr="00E205C9" w:rsidRDefault="003A7C6B" w:rsidP="009E0B02">
      <w:pPr>
        <w:pStyle w:val="Akapitzlist"/>
        <w:numPr>
          <w:ilvl w:val="0"/>
          <w:numId w:val="2"/>
        </w:numPr>
        <w:spacing w:before="100" w:beforeAutospacing="1" w:after="120" w:line="276" w:lineRule="auto"/>
        <w:ind w:right="72"/>
        <w:jc w:val="both"/>
      </w:pPr>
      <w:r w:rsidRPr="00E205C9">
        <w:t xml:space="preserve">W celu zachowania zasad neutralności technologicznej i konkurencyjności dopuszcza się rozwiązania równoważne do wyspecyfikowanych, przy czym za rozwiązanie równoważne uważa się takie rozwiązanie, które pod względem technologii, wydajności i funkcjonalności nie odbiega lub jest lepsze od technologii funkcjonalności i wydajności wyszczególnionych w rozwiązaniu wyspecyfikowanym. </w:t>
      </w:r>
    </w:p>
    <w:p w:rsidR="003A7C6B" w:rsidRPr="00E205C9" w:rsidRDefault="003A7C6B" w:rsidP="009E0B02">
      <w:pPr>
        <w:pStyle w:val="Akapitzlist"/>
        <w:numPr>
          <w:ilvl w:val="0"/>
          <w:numId w:val="2"/>
        </w:numPr>
        <w:spacing w:before="100" w:beforeAutospacing="1" w:after="120" w:line="276" w:lineRule="auto"/>
        <w:ind w:right="72"/>
        <w:jc w:val="both"/>
      </w:pPr>
      <w:r w:rsidRPr="00E205C9">
        <w:t xml:space="preserve">Nie podlegają porównaniu cechy rozwiązania właściwe wyłącznie dla rozwiązania wyspecyfikowanego, takie jak: zastrzeżone patenty, własnościowe rozwiązania technologiczne, </w:t>
      </w:r>
      <w:r w:rsidRPr="00E205C9">
        <w:lastRenderedPageBreak/>
        <w:t xml:space="preserve">własnościowe protokoły itp., a jedynie te, które stanowią o istocie całości zakładanych rozwiązań technologicznych i posiadają odniesienie w rozwiązaniu równoważnym. W związku z tym, Wykonawca może zaproponować rozwiązania, które realizują takie same funkcjonalności wyspecyfikowane przez Zamawiającego w inny, niż podany sposób. </w:t>
      </w:r>
    </w:p>
    <w:p w:rsidR="003A7C6B" w:rsidRDefault="003A7C6B" w:rsidP="009E0B02">
      <w:pPr>
        <w:pStyle w:val="Akapitzlist"/>
        <w:numPr>
          <w:ilvl w:val="0"/>
          <w:numId w:val="2"/>
        </w:numPr>
        <w:spacing w:before="100" w:beforeAutospacing="1" w:after="120" w:line="276" w:lineRule="auto"/>
        <w:ind w:right="72"/>
        <w:jc w:val="both"/>
      </w:pPr>
      <w:r w:rsidRPr="00E205C9">
        <w:t>Przez bardzo zbliżoną (podobną) wartość użytkową rozumie się podobne, z dopuszczeniem nieznacznych różnic nie wpływających w żadnym stopniu na całokształt systemu, zachowanie oraz realizowanie podobnych funkcjonalności w danych warunkach, dla których to warunków rozwiązania te są dedykowane. Rozwiązanie równoważne musi zawierać dokumentację potwierdzającą, że spełnia wymagania funkcjonalne Zamawiającego, w tym wyniki porównań, testów czy możliwości oferowanych przez to rozwiązanie w odniesieniu do rozwiązania wyspecyfikowanego.</w:t>
      </w:r>
    </w:p>
    <w:p w:rsidR="003A7C6B" w:rsidRDefault="003A7C6B" w:rsidP="009E0B02">
      <w:pPr>
        <w:pStyle w:val="Akapitzlist"/>
        <w:numPr>
          <w:ilvl w:val="0"/>
          <w:numId w:val="2"/>
        </w:numPr>
        <w:spacing w:before="100" w:beforeAutospacing="1" w:after="120" w:line="276" w:lineRule="auto"/>
        <w:ind w:right="72"/>
        <w:jc w:val="both"/>
      </w:pPr>
      <w:r>
        <w:t xml:space="preserve">W przypadku wskazania przez Zamawiającego określonych testów wydajności Zamawiający </w:t>
      </w:r>
      <w:r w:rsidRPr="00CD5681">
        <w:rPr>
          <w:rFonts w:cstheme="minorHAnsi"/>
          <w:lang w:eastAsia="pl-PL"/>
        </w:rPr>
        <w:t xml:space="preserve">zastrzega, iż w celu sprawdzenia </w:t>
      </w:r>
      <w:r>
        <w:rPr>
          <w:rFonts w:cstheme="minorHAnsi"/>
          <w:lang w:eastAsia="pl-PL"/>
        </w:rPr>
        <w:t>poprawności</w:t>
      </w:r>
      <w:r w:rsidRPr="00CD5681">
        <w:rPr>
          <w:rFonts w:cstheme="minorHAnsi"/>
          <w:lang w:eastAsia="pl-PL"/>
        </w:rPr>
        <w:t xml:space="preserve"> przeprowadz</w:t>
      </w:r>
      <w:r>
        <w:rPr>
          <w:rFonts w:cstheme="minorHAnsi"/>
          <w:lang w:eastAsia="pl-PL"/>
        </w:rPr>
        <w:t>onych</w:t>
      </w:r>
      <w:r w:rsidRPr="00CD5681">
        <w:rPr>
          <w:rFonts w:cstheme="minorHAnsi"/>
          <w:lang w:eastAsia="pl-PL"/>
        </w:rPr>
        <w:t xml:space="preserve"> testów </w:t>
      </w:r>
      <w:r>
        <w:rPr>
          <w:rFonts w:cstheme="minorHAnsi"/>
          <w:lang w:eastAsia="pl-PL"/>
        </w:rPr>
        <w:t xml:space="preserve">może wezwać Wykonawcę do przedstawienia wskazanego przez Zamawiającego oprogramowania </w:t>
      </w:r>
      <w:r w:rsidRPr="00CD5681">
        <w:rPr>
          <w:rFonts w:cstheme="minorHAnsi"/>
          <w:lang w:eastAsia="pl-PL"/>
        </w:rPr>
        <w:t>testujące</w:t>
      </w:r>
      <w:r>
        <w:rPr>
          <w:rFonts w:cstheme="minorHAnsi"/>
          <w:lang w:eastAsia="pl-PL"/>
        </w:rPr>
        <w:t>go wraz z testowanym urządzeniem i/lub oprogramowaniem. Wszystkie</w:t>
      </w:r>
      <w:r w:rsidRPr="00361C88">
        <w:rPr>
          <w:rFonts w:cstheme="minorHAnsi"/>
          <w:lang w:eastAsia="pl-PL"/>
        </w:rPr>
        <w:t xml:space="preserve"> testy wydajnościowe wykonawca musi przeprowadzić </w:t>
      </w:r>
      <w:r>
        <w:rPr>
          <w:rFonts w:cstheme="minorHAnsi"/>
          <w:lang w:eastAsia="pl-PL"/>
        </w:rPr>
        <w:t>w</w:t>
      </w:r>
      <w:r w:rsidRPr="00361C88">
        <w:rPr>
          <w:rFonts w:cstheme="minorHAnsi"/>
          <w:lang w:eastAsia="pl-PL"/>
        </w:rPr>
        <w:t xml:space="preserve"> oferowanej konfiguracji, przy automatycznych ustawieniach konfiguratora oprogramowania testującego i natywnej rozdzielczości wyświetlacza oraz włączonych wszystkich urządzaniach. Nie dopuszcza się stosowani</w:t>
      </w:r>
      <w:r>
        <w:rPr>
          <w:rFonts w:cstheme="minorHAnsi"/>
          <w:lang w:eastAsia="pl-PL"/>
        </w:rPr>
        <w:t>a</w:t>
      </w:r>
      <w:r w:rsidRPr="00361C88">
        <w:rPr>
          <w:rFonts w:cstheme="minorHAnsi"/>
          <w:lang w:eastAsia="pl-PL"/>
        </w:rPr>
        <w:t xml:space="preserve"> overclokingu, oprogramowania wspomagającego pochodzącego z innego źródła niż fabrycznie zainstalowane oprogramowanie przez producenta, ingerowania w ustawieniach BIOS (tzn. wyłączanie urządzeń stanowiących pełną konfigurację), jak również w samym środowisku systemu (tzn. zmniejszanie rozdzielczości, jasności i kontrastu itp.).</w:t>
      </w:r>
      <w:r>
        <w:rPr>
          <w:rFonts w:cstheme="minorHAnsi"/>
          <w:lang w:eastAsia="pl-PL"/>
        </w:rPr>
        <w:t xml:space="preserve"> Zamawiający dopuszcza prowadzenie testów wydajnościowych w oparciu o dowolny system operacyjny zainstalowany na urządzeniu.</w:t>
      </w:r>
    </w:p>
    <w:p w:rsidR="003A7C6B" w:rsidRDefault="003A7C6B" w:rsidP="009E0B02">
      <w:pPr>
        <w:pStyle w:val="Akapitzlist"/>
        <w:numPr>
          <w:ilvl w:val="0"/>
          <w:numId w:val="2"/>
        </w:numPr>
        <w:spacing w:before="100" w:beforeAutospacing="1" w:after="120" w:line="276" w:lineRule="auto"/>
        <w:ind w:right="72"/>
        <w:jc w:val="both"/>
      </w:pPr>
      <w:r>
        <w:t xml:space="preserve">W przypadku wskazania przez Zamawiającego określonych testów wydajności Zamawiający dopuszcza równoważne im testy wydajnościowe umożliwiające potwierdzenie zakładanych poziomów wydajności. </w:t>
      </w:r>
      <w:r w:rsidRPr="00CD5681">
        <w:rPr>
          <w:rFonts w:cstheme="minorHAnsi"/>
          <w:lang w:eastAsia="pl-PL"/>
        </w:rPr>
        <w:t xml:space="preserve">W przypadku użycia przez </w:t>
      </w:r>
      <w:r>
        <w:rPr>
          <w:rFonts w:cstheme="minorHAnsi"/>
          <w:lang w:eastAsia="pl-PL"/>
        </w:rPr>
        <w:t>Wykonawcę równoważnych</w:t>
      </w:r>
      <w:r w:rsidRPr="00CD5681">
        <w:rPr>
          <w:rFonts w:cstheme="minorHAnsi"/>
          <w:lang w:eastAsia="pl-PL"/>
        </w:rPr>
        <w:t xml:space="preserve"> testów wydajności Zamawiający zastrzega, iż w celu sprawdzenia </w:t>
      </w:r>
      <w:r>
        <w:rPr>
          <w:rFonts w:cstheme="minorHAnsi"/>
          <w:lang w:eastAsia="pl-PL"/>
        </w:rPr>
        <w:t>równoważności</w:t>
      </w:r>
      <w:r w:rsidRPr="00CD5681">
        <w:rPr>
          <w:rFonts w:cstheme="minorHAnsi"/>
          <w:lang w:eastAsia="pl-PL"/>
        </w:rPr>
        <w:t xml:space="preserve"> przeprowadz</w:t>
      </w:r>
      <w:r>
        <w:rPr>
          <w:rFonts w:cstheme="minorHAnsi"/>
          <w:lang w:eastAsia="pl-PL"/>
        </w:rPr>
        <w:t>onych</w:t>
      </w:r>
      <w:r w:rsidRPr="00CD5681">
        <w:rPr>
          <w:rFonts w:cstheme="minorHAnsi"/>
          <w:lang w:eastAsia="pl-PL"/>
        </w:rPr>
        <w:t xml:space="preserve"> testów </w:t>
      </w:r>
      <w:r>
        <w:rPr>
          <w:rFonts w:cstheme="minorHAnsi"/>
          <w:lang w:eastAsia="pl-PL"/>
        </w:rPr>
        <w:t>Wykonawca</w:t>
      </w:r>
      <w:r w:rsidRPr="00CD5681">
        <w:rPr>
          <w:rFonts w:cstheme="minorHAnsi"/>
          <w:lang w:eastAsia="pl-PL"/>
        </w:rPr>
        <w:t xml:space="preserve"> </w:t>
      </w:r>
      <w:r>
        <w:rPr>
          <w:rFonts w:cstheme="minorHAnsi"/>
          <w:lang w:eastAsia="pl-PL"/>
        </w:rPr>
        <w:t>może zostać wezwany do</w:t>
      </w:r>
      <w:r w:rsidRPr="00CD5681">
        <w:rPr>
          <w:rFonts w:cstheme="minorHAnsi"/>
          <w:lang w:eastAsia="pl-PL"/>
        </w:rPr>
        <w:t xml:space="preserve"> dostarcz</w:t>
      </w:r>
      <w:r>
        <w:rPr>
          <w:rFonts w:cstheme="minorHAnsi"/>
          <w:lang w:eastAsia="pl-PL"/>
        </w:rPr>
        <w:t>enia</w:t>
      </w:r>
      <w:r w:rsidRPr="00CD5681">
        <w:rPr>
          <w:rFonts w:cstheme="minorHAnsi"/>
          <w:lang w:eastAsia="pl-PL"/>
        </w:rPr>
        <w:t xml:space="preserve"> </w:t>
      </w:r>
      <w:r>
        <w:rPr>
          <w:rFonts w:cstheme="minorHAnsi"/>
          <w:lang w:eastAsia="pl-PL"/>
        </w:rPr>
        <w:t>Z</w:t>
      </w:r>
      <w:r w:rsidRPr="00CD5681">
        <w:rPr>
          <w:rFonts w:cstheme="minorHAnsi"/>
          <w:lang w:eastAsia="pl-PL"/>
        </w:rPr>
        <w:t xml:space="preserve">amawiającemu </w:t>
      </w:r>
      <w:r>
        <w:rPr>
          <w:rFonts w:cstheme="minorHAnsi"/>
          <w:lang w:eastAsia="pl-PL"/>
        </w:rPr>
        <w:t xml:space="preserve">wskazanego przez Zamawiającego oprogramowania testującego i równoważnego do niego </w:t>
      </w:r>
      <w:r w:rsidRPr="00CD5681">
        <w:rPr>
          <w:rFonts w:cstheme="minorHAnsi"/>
          <w:lang w:eastAsia="pl-PL"/>
        </w:rPr>
        <w:t>oprogramowani</w:t>
      </w:r>
      <w:r>
        <w:rPr>
          <w:rFonts w:cstheme="minorHAnsi"/>
          <w:lang w:eastAsia="pl-PL"/>
        </w:rPr>
        <w:t>a</w:t>
      </w:r>
      <w:r w:rsidRPr="00CD5681">
        <w:rPr>
          <w:rFonts w:cstheme="minorHAnsi"/>
          <w:lang w:eastAsia="pl-PL"/>
        </w:rPr>
        <w:t xml:space="preserve"> testujące</w:t>
      </w:r>
      <w:r>
        <w:rPr>
          <w:rFonts w:cstheme="minorHAnsi"/>
          <w:lang w:eastAsia="pl-PL"/>
        </w:rPr>
        <w:t>go wraz z testowanym urządzeniem i/lub oprogramowaniem. Wszystkie</w:t>
      </w:r>
      <w:r w:rsidRPr="00361C88">
        <w:rPr>
          <w:rFonts w:cstheme="minorHAnsi"/>
          <w:lang w:eastAsia="pl-PL"/>
        </w:rPr>
        <w:t xml:space="preserve"> testy wydajnościowe wykonawca musi przeprowadzić </w:t>
      </w:r>
      <w:r>
        <w:rPr>
          <w:rFonts w:cstheme="minorHAnsi"/>
          <w:lang w:eastAsia="pl-PL"/>
        </w:rPr>
        <w:t>w</w:t>
      </w:r>
      <w:r w:rsidRPr="00361C88">
        <w:rPr>
          <w:rFonts w:cstheme="minorHAnsi"/>
          <w:lang w:eastAsia="pl-PL"/>
        </w:rPr>
        <w:t xml:space="preserve"> oferowanej konfiguracji, przy automatycznych ustawieniach konfiguratora oprogramowania testującego i natywnej rozdzielczości wyświetlacza oraz włączonych wszystkich urządzaniach. Nie dopuszcza się stosowani</w:t>
      </w:r>
      <w:r>
        <w:rPr>
          <w:rFonts w:cstheme="minorHAnsi"/>
          <w:lang w:eastAsia="pl-PL"/>
        </w:rPr>
        <w:t>a</w:t>
      </w:r>
      <w:r w:rsidRPr="00361C88">
        <w:rPr>
          <w:rFonts w:cstheme="minorHAnsi"/>
          <w:lang w:eastAsia="pl-PL"/>
        </w:rPr>
        <w:t xml:space="preserve"> overclokingu, oprogramowania wspomagającego pochodzącego z innego źródła niż fabrycznie zainstalowane oprogramowanie przez producenta, ingerowania w ustawieniach BIOS (tzn. wyłączanie urządzeń stanowiących pełną konfigurację), jak również w samym środowisku systemu (tzn. zmniejszanie rozdzielczości, jasności i kontrastu itp.).</w:t>
      </w:r>
      <w:r>
        <w:rPr>
          <w:rFonts w:cstheme="minorHAnsi"/>
          <w:lang w:eastAsia="pl-PL"/>
        </w:rPr>
        <w:t xml:space="preserve"> Zamawiający dopuszcza prowadzenie testów wydajnościowych w oparciu o dowolny system operacyjny zainstalowany na urządzeniu.</w:t>
      </w:r>
    </w:p>
    <w:p w:rsidR="003A7C6B" w:rsidRDefault="003A7C6B" w:rsidP="009E0B02">
      <w:pPr>
        <w:pStyle w:val="Akapitzlist"/>
        <w:numPr>
          <w:ilvl w:val="0"/>
          <w:numId w:val="2"/>
        </w:numPr>
        <w:spacing w:before="100" w:beforeAutospacing="1" w:after="120" w:line="276" w:lineRule="auto"/>
        <w:ind w:right="72"/>
        <w:jc w:val="both"/>
      </w:pPr>
      <w:r w:rsidRPr="00E205C9">
        <w:t xml:space="preserve">Dodatkowo, wszędzie tam, gdzie zostało wskazane pochodzenie (marka, znak towarowy, producent, dostawca itp.) materiałów lub normy, aprobaty, specyfikacje i systemy, o których mowa w ustawie Prawo Zamówień Publicznych (zwana dalej ustawą), Zamawiający dopuszcza oferowanie sprzętu lub rozwiązań równoważnych pod warunkiem, że zapewnią uzyskanie parametrów technicznych takich samych lub lepszych niż wymagane przez Zamawiającego w dokumentacji przetargowej. Zamawiający dopuszcza oferowanie materiałów lub urządzeń równoważnych. Materiały lub urządzenia pochodzące od konkretnych producentów określają </w:t>
      </w:r>
      <w:r w:rsidRPr="00E205C9">
        <w:lastRenderedPageBreak/>
        <w:t>minimalne parametry jakościowe i cechy użytkowe, a także jakościowe (m.in.: wymiary, skład, zastosowany materiał, kolor, odcień, przeznaczenie materiałów i urządzeń, estetyka itp.) jakim muszą odpowiadać materiały lub urządzenia oferowane przez Wykonawcę, aby zostały spełnione wymagania stawiane przez Zamawiającego. Operowanie przykładowymi nazwami producenta ma jedynie na celu doprecyzowanie poziomu oczekiwań Zamawiającego w stosunku do określonego rozwiązania. Posługiwanie się nazwami producentów / produktów ma wyłącznie charakter przykładowy. Zamawiający, wskazując oznaczenie konkretnego producenta (dostawcy), konkretny produkt lub materiały przy opisie przedmiotu zamówienia, dopuszcza jednocześnie produkty równoważne o parametrach jakościowych i cechach użytkowych co najmniej na poziomie parametrów wskazanego produktu, uznając tym samym każdy produkt o wskazanych lub lepszych parametrach. Zamawiający opisując przedmiot zamówienia przy pomocy określonych norm, aprobat czy specyfikacji technicznych i systemów odniesienia dopuszcza rozwiązania równoważne opisywanym. Wykonawca, który powołuje się na rozwiązania równoważne opisywanym przez Zamawiającego, jest obowiązany wykazać, że oferowane przez niego dostawy spełniają wymagania określone przez Zamawiającego. W takiej sytuacji Zamawiający wymaga złożenia stosownych dokumentów uwiarygodniających te rozwiązania.</w:t>
      </w:r>
    </w:p>
    <w:p w:rsidR="003E28EE" w:rsidRDefault="00FB18AA" w:rsidP="008B0DAF">
      <w:pPr>
        <w:pStyle w:val="Nagwek1"/>
        <w:numPr>
          <w:ilvl w:val="0"/>
          <w:numId w:val="1"/>
        </w:numPr>
        <w:spacing w:before="100" w:beforeAutospacing="1" w:after="120" w:line="276" w:lineRule="auto"/>
      </w:pPr>
      <w:bookmarkStart w:id="5" w:name="_Toc210373436"/>
      <w:r>
        <w:t>Przedmiot zamówienia</w:t>
      </w:r>
      <w:r w:rsidR="003E28EE">
        <w:t>.</w:t>
      </w:r>
      <w:bookmarkEnd w:id="5"/>
    </w:p>
    <w:p w:rsidR="003E28EE" w:rsidRDefault="003E28EE" w:rsidP="008B0DAF">
      <w:pPr>
        <w:pStyle w:val="Nagwek1"/>
        <w:numPr>
          <w:ilvl w:val="1"/>
          <w:numId w:val="1"/>
        </w:numPr>
        <w:spacing w:after="240" w:line="276" w:lineRule="auto"/>
      </w:pPr>
      <w:bookmarkStart w:id="6" w:name="_Toc210373437"/>
      <w:r>
        <w:t>Wymagania ogólne.</w:t>
      </w:r>
      <w:bookmarkEnd w:id="6"/>
    </w:p>
    <w:p w:rsidR="003E28EE" w:rsidRDefault="003E28EE" w:rsidP="009E0B02">
      <w:pPr>
        <w:pStyle w:val="Akapitzlist"/>
        <w:numPr>
          <w:ilvl w:val="0"/>
          <w:numId w:val="7"/>
        </w:numPr>
        <w:spacing w:line="276" w:lineRule="auto"/>
        <w:jc w:val="both"/>
      </w:pPr>
      <w:r>
        <w:t xml:space="preserve">Dostarczony sprzęt i oprogramowanie muszą być wolne od wad prawnych i fizycznych oraz nienoszący oznak użytkowania. </w:t>
      </w:r>
    </w:p>
    <w:p w:rsidR="003E28EE" w:rsidRDefault="003E28EE" w:rsidP="009E0B02">
      <w:pPr>
        <w:pStyle w:val="Akapitzlist"/>
        <w:numPr>
          <w:ilvl w:val="0"/>
          <w:numId w:val="7"/>
        </w:numPr>
        <w:spacing w:line="276" w:lineRule="auto"/>
        <w:jc w:val="both"/>
      </w:pPr>
      <w:r>
        <w:t>Dostarczony sprzęt i oprogramowanie muszą być fabrycznie nowe (tzn. wyprodukowane nie wcześniej, niż na 9 miesięcy przed ich dostarczeniem), muszą pochodzić z oficjalnego kanału sprzedaży producenta na rynek polski, pochodzić z seryjnej produkcji z uwzględnieniem opcji konfiguracyjnych przewidzianych przez producenta dla oferowanego modelu sprzętu i</w:t>
      </w:r>
      <w:r w:rsidR="00BE6847">
        <w:t> </w:t>
      </w:r>
      <w:r>
        <w:t xml:space="preserve">oprogramowania. </w:t>
      </w:r>
    </w:p>
    <w:p w:rsidR="00BE6847" w:rsidRDefault="003E28EE" w:rsidP="009E0B02">
      <w:pPr>
        <w:pStyle w:val="Akapitzlist"/>
        <w:numPr>
          <w:ilvl w:val="0"/>
          <w:numId w:val="7"/>
        </w:numPr>
        <w:spacing w:line="276" w:lineRule="auto"/>
        <w:jc w:val="both"/>
      </w:pPr>
      <w:r>
        <w:t>Niedopuszczalne są produkty prototypowe, nie dopuszcza się urządzeń długotrwale magazynowanych oraz pochodzących z programów wyprzedażowych producenta. Urządzenia nie mogą znajdować się na liście „end-of-sale”, „end-of-support”, „end-of-life” producenta</w:t>
      </w:r>
      <w:r w:rsidR="00BE6847">
        <w:t xml:space="preserve"> lub innych listach prowadzonych przez producentów produktów świadczących o tym, że produkt został wycofany ze sprzedaży, wsparcie dla niego zostało zakończone lub producent </w:t>
      </w:r>
      <w:r w:rsidR="00BE6847" w:rsidRPr="007B67E9">
        <w:t xml:space="preserve">zaprzestaje wydawania aktualizacji, poprawek bezpieczeństwa czy też napraw dla </w:t>
      </w:r>
      <w:r w:rsidR="00BE6847">
        <w:t>produktu.</w:t>
      </w:r>
    </w:p>
    <w:p w:rsidR="003E28EE" w:rsidRDefault="003E28EE" w:rsidP="009E0B02">
      <w:pPr>
        <w:pStyle w:val="Akapitzlist"/>
        <w:numPr>
          <w:ilvl w:val="0"/>
          <w:numId w:val="7"/>
        </w:numPr>
        <w:spacing w:line="276" w:lineRule="auto"/>
        <w:jc w:val="both"/>
      </w:pPr>
      <w:r>
        <w:t xml:space="preserve">Wymagana ilość i rozmieszczenie (na zewnątrz obudowy) jakichkolwiek portów nie może być osiągnięta w wyniku stosowania konwerterów, przejściówek, itp., niedopuszczalne jest zastosowanie jakichkolwiek zewnętrznych przejściówek czy konwerterów. </w:t>
      </w:r>
      <w:r w:rsidR="00C5509A">
        <w:t>Niedopuszczalna jest realizacja tylko części funkcji bądź wymaganych standardów zamiast innych określonych jako minimalne w niniejszym dokumencie. Wszystkie wymagania minimalne muszą zostać zapewnione przez dostarczane produkty bez konieczności zakupu żadnych dodatkowych elementów przez Zamawiającego, chyba że z niniejszego dokumentu wynika inaczej.</w:t>
      </w:r>
    </w:p>
    <w:p w:rsidR="003E28EE" w:rsidRDefault="003E28EE" w:rsidP="009E0B02">
      <w:pPr>
        <w:pStyle w:val="Akapitzlist"/>
        <w:numPr>
          <w:ilvl w:val="0"/>
          <w:numId w:val="7"/>
        </w:numPr>
        <w:spacing w:line="276" w:lineRule="auto"/>
        <w:jc w:val="both"/>
      </w:pPr>
      <w:r>
        <w:t xml:space="preserve">Wszystkie urządzenia będą zasilane bezpośrednio z sieci 230V. </w:t>
      </w:r>
    </w:p>
    <w:p w:rsidR="00F738F5" w:rsidRPr="00021EA3" w:rsidRDefault="003E28EE" w:rsidP="009E0B02">
      <w:pPr>
        <w:pStyle w:val="Akapitzlist"/>
        <w:numPr>
          <w:ilvl w:val="0"/>
          <w:numId w:val="7"/>
        </w:numPr>
        <w:spacing w:line="276" w:lineRule="auto"/>
        <w:jc w:val="both"/>
      </w:pPr>
      <w:r w:rsidRPr="00021EA3">
        <w:t xml:space="preserve">Wykonawca zapewni dostawę do wskazanej lokalizacji </w:t>
      </w:r>
      <w:r w:rsidR="003F085A" w:rsidRPr="00021EA3">
        <w:t>przez</w:t>
      </w:r>
      <w:r w:rsidRPr="00021EA3">
        <w:t xml:space="preserve"> Zamawiającego</w:t>
      </w:r>
      <w:r w:rsidR="003952DB">
        <w:t>.</w:t>
      </w:r>
    </w:p>
    <w:p w:rsidR="003E28EE" w:rsidRDefault="003E28EE" w:rsidP="009E0B02">
      <w:pPr>
        <w:pStyle w:val="Akapitzlist"/>
        <w:numPr>
          <w:ilvl w:val="0"/>
          <w:numId w:val="7"/>
        </w:numPr>
        <w:spacing w:line="276" w:lineRule="auto"/>
        <w:jc w:val="both"/>
      </w:pPr>
      <w:r>
        <w:t xml:space="preserve">Wykonawca jest odpowiedzialny za skonfigurowanie połączeń fizycznych, logicznych, podłączenie i skonfigurowanie urządzeń do działania, pozwalające na rozpoczęcie pracy oraz dostarczenie </w:t>
      </w:r>
      <w:r>
        <w:lastRenderedPageBreak/>
        <w:t>odpowiedniej ilości kabli zasilających, połączeniowych w celu przygotowania zamawianego sprzętu do działania.</w:t>
      </w:r>
    </w:p>
    <w:p w:rsidR="003E28EE" w:rsidRDefault="003E28EE" w:rsidP="009E0B02">
      <w:pPr>
        <w:pStyle w:val="Akapitzlist"/>
        <w:numPr>
          <w:ilvl w:val="0"/>
          <w:numId w:val="7"/>
        </w:numPr>
        <w:spacing w:line="276" w:lineRule="auto"/>
        <w:jc w:val="both"/>
      </w:pPr>
      <w:r>
        <w:t>Wykonawca zobowiązany jest do skonfigurowania zamawianego sprzętu w uzgodnieniu z Zamawiającym.</w:t>
      </w:r>
    </w:p>
    <w:p w:rsidR="003E28EE" w:rsidRDefault="003E28EE" w:rsidP="009E0B02">
      <w:pPr>
        <w:pStyle w:val="Akapitzlist"/>
        <w:numPr>
          <w:ilvl w:val="0"/>
          <w:numId w:val="7"/>
        </w:numPr>
        <w:spacing w:line="276" w:lineRule="auto"/>
        <w:jc w:val="both"/>
      </w:pPr>
      <w:r>
        <w:t xml:space="preserve">Prace instalacyjne będzie można realizować wyłącznie w terminach uzgodnionych z Zamawiającym. </w:t>
      </w:r>
    </w:p>
    <w:p w:rsidR="003E28EE" w:rsidRDefault="003E28EE" w:rsidP="009E0B02">
      <w:pPr>
        <w:pStyle w:val="Akapitzlist"/>
        <w:numPr>
          <w:ilvl w:val="0"/>
          <w:numId w:val="7"/>
        </w:numPr>
        <w:spacing w:line="276" w:lineRule="auto"/>
        <w:jc w:val="both"/>
      </w:pPr>
      <w:r>
        <w:t>Wykonawca będzie zobowiązany do złożenia dokumentacji powykonawczej, zawierającej w szczególności wszystkie dane dostępu do urządzeń i oprogramowania, które będą wykorzystywane podczas instalacji i konfiguracji sprzętu i oprogramowania.</w:t>
      </w:r>
    </w:p>
    <w:p w:rsidR="003E28EE" w:rsidRDefault="003E28EE" w:rsidP="009E0B02">
      <w:pPr>
        <w:pStyle w:val="Akapitzlist"/>
        <w:numPr>
          <w:ilvl w:val="0"/>
          <w:numId w:val="7"/>
        </w:numPr>
        <w:spacing w:line="276" w:lineRule="auto"/>
        <w:jc w:val="both"/>
      </w:pPr>
      <w:r>
        <w:t xml:space="preserve">Dla dostaw sprzętu informatycznego z </w:t>
      </w:r>
      <w:r w:rsidR="00D562A8">
        <w:t>oprogramowaniem</w:t>
      </w:r>
      <w:r>
        <w:t xml:space="preserve"> </w:t>
      </w:r>
      <w:r w:rsidRPr="009C3FC4">
        <w:t xml:space="preserve">Zamawiający wymaga fabrycznie nowego </w:t>
      </w:r>
      <w:r w:rsidR="00D562A8">
        <w:t>oprogramowania</w:t>
      </w:r>
      <w:r w:rsidRPr="009C3FC4">
        <w:t xml:space="preserve"> (nieużywanego nigdy wcześniej), w wersji z certyfikatem autentyczności dla każdej licencji</w:t>
      </w:r>
      <w:r>
        <w:t xml:space="preserve">, o ile producent oferowanego oprogramowania stosuje certyfikaty autentyczności. Wykonawca zobowiązany jest do dostarczenia fabrycznie nowego </w:t>
      </w:r>
      <w:r w:rsidR="00D562A8">
        <w:t>oprogramowania (w tym systemu operacyjnego)</w:t>
      </w:r>
      <w:r>
        <w:t xml:space="preserve"> nieużywanego oraz nigdy wcześniej nieaktywowanego na innym urządzeniu oraz pochodzącego z legalnego źródła sprzedaży. W przypadku </w:t>
      </w:r>
      <w:r w:rsidR="00D562A8">
        <w:t>oprogramowania</w:t>
      </w:r>
      <w:r>
        <w:t xml:space="preserve"> naklejka hologramowa winna być zabezpieczona przed możliwością odczytania klucza za pomocą zabezpieczeń stosowanych przez producenta, o ile producent oferowanego oprogramowania stosuje takie zabezpieczenia. Zamawiający zastrzega możliwość weryfikacji dostarczonego oprogramowania na etapie oceny ofert jak i na etapie dostawy pod kątem legalności oprogramowania bezpośrednio u producenta oprogramowania. Zamawiający zastrzega możliwość żądania od Wykonawcy na etapie dostawy przedstawienia dokumentów dotyczących zakupu oprogramowania (faktury, rachunki) w autoryzowanym kanale dystrybucyjnym producenta oprogramowania.</w:t>
      </w:r>
    </w:p>
    <w:p w:rsidR="0044138D" w:rsidRPr="008A49AD" w:rsidRDefault="0044138D" w:rsidP="009E0B02">
      <w:pPr>
        <w:pStyle w:val="Akapitzlist"/>
        <w:numPr>
          <w:ilvl w:val="0"/>
          <w:numId w:val="7"/>
        </w:numPr>
        <w:spacing w:line="276" w:lineRule="auto"/>
        <w:jc w:val="both"/>
      </w:pPr>
      <w:r w:rsidRPr="008A49AD">
        <w:t>Proces współpracy</w:t>
      </w:r>
      <w:r>
        <w:t xml:space="preserve"> między Wykonawcą a Zamawiającym w celu wdrożenia sprzętu i oprogramowania – wymagania minimalne:</w:t>
      </w:r>
    </w:p>
    <w:p w:rsidR="0044138D" w:rsidRPr="004D3D8D" w:rsidRDefault="0044138D" w:rsidP="009E0B02">
      <w:pPr>
        <w:pStyle w:val="Akapitzlist"/>
        <w:numPr>
          <w:ilvl w:val="0"/>
          <w:numId w:val="3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 w:rsidRPr="004D3D8D">
        <w:rPr>
          <w:color w:val="000000" w:themeColor="text1"/>
        </w:rPr>
        <w:t>Wykonawca przygotuje projekt techniczny realizacji koncepcji, uwzględniający dobre praktyki i rekomendacje eksploatacyjne publikowane przez producentów wdrażanego</w:t>
      </w:r>
      <w:r>
        <w:rPr>
          <w:color w:val="000000" w:themeColor="text1"/>
        </w:rPr>
        <w:t xml:space="preserve"> sprzętu i </w:t>
      </w:r>
      <w:r w:rsidRPr="004D3D8D">
        <w:rPr>
          <w:color w:val="000000" w:themeColor="text1"/>
        </w:rPr>
        <w:t>oprogramowania</w:t>
      </w:r>
      <w:r w:rsidR="003F085A">
        <w:rPr>
          <w:color w:val="000000" w:themeColor="text1"/>
        </w:rPr>
        <w:t xml:space="preserve"> </w:t>
      </w:r>
      <w:r w:rsidRPr="004D3D8D">
        <w:rPr>
          <w:color w:val="000000" w:themeColor="text1"/>
        </w:rPr>
        <w:t>po wykonaniu analizy istniejącego u Zamawiającego rozwiązania wraz z koncepcją uwzględniające obecne u Zamawiającego uwarunkowania organizacyjne i sprzętowe, łącznie zwane dalej projektem technicznym. W projekcie technicznym muszą być zawarte:</w:t>
      </w:r>
    </w:p>
    <w:p w:rsidR="0044138D" w:rsidRPr="00A4250B" w:rsidRDefault="0044138D" w:rsidP="009E0B02">
      <w:pPr>
        <w:pStyle w:val="Akapitzlist"/>
        <w:numPr>
          <w:ilvl w:val="0"/>
          <w:numId w:val="4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>
        <w:rPr>
          <w:color w:val="000000" w:themeColor="text1"/>
        </w:rPr>
        <w:t>s</w:t>
      </w:r>
      <w:r w:rsidRPr="00A4250B">
        <w:rPr>
          <w:color w:val="000000" w:themeColor="text1"/>
        </w:rPr>
        <w:t>cenariusze testowe, procedury oraz wzory raportów testów,</w:t>
      </w:r>
    </w:p>
    <w:p w:rsidR="0044138D" w:rsidRPr="00A4250B" w:rsidRDefault="0044138D" w:rsidP="009E0B02">
      <w:pPr>
        <w:pStyle w:val="Akapitzlist"/>
        <w:numPr>
          <w:ilvl w:val="0"/>
          <w:numId w:val="4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 w:rsidRPr="00A4250B">
        <w:rPr>
          <w:color w:val="000000" w:themeColor="text1"/>
        </w:rPr>
        <w:t xml:space="preserve">szczegółowy harmonogram realizacji prac </w:t>
      </w:r>
      <w:r>
        <w:rPr>
          <w:color w:val="000000" w:themeColor="text1"/>
        </w:rPr>
        <w:t xml:space="preserve">wdrożeniowych i </w:t>
      </w:r>
      <w:r w:rsidRPr="00A4250B">
        <w:rPr>
          <w:color w:val="000000" w:themeColor="text1"/>
        </w:rPr>
        <w:t>migracyjnych, uwzględniający specyfikę organizacji Zamawiającego,</w:t>
      </w:r>
    </w:p>
    <w:p w:rsidR="0044138D" w:rsidRPr="00A4250B" w:rsidRDefault="0044138D" w:rsidP="009E0B02">
      <w:pPr>
        <w:pStyle w:val="Akapitzlist"/>
        <w:numPr>
          <w:ilvl w:val="0"/>
          <w:numId w:val="4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>
        <w:rPr>
          <w:color w:val="000000" w:themeColor="text1"/>
        </w:rPr>
        <w:t xml:space="preserve">opis koncepcji </w:t>
      </w:r>
      <w:r w:rsidRPr="00A4250B">
        <w:rPr>
          <w:color w:val="000000" w:themeColor="text1"/>
        </w:rPr>
        <w:t xml:space="preserve">realizacji </w:t>
      </w:r>
      <w:r>
        <w:rPr>
          <w:color w:val="000000" w:themeColor="text1"/>
        </w:rPr>
        <w:t>prac,</w:t>
      </w:r>
    </w:p>
    <w:p w:rsidR="0044138D" w:rsidRDefault="0044138D" w:rsidP="009E0B02">
      <w:pPr>
        <w:pStyle w:val="Akapitzlist"/>
        <w:numPr>
          <w:ilvl w:val="0"/>
          <w:numId w:val="4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 w:rsidRPr="00A4250B">
        <w:rPr>
          <w:color w:val="000000" w:themeColor="text1"/>
        </w:rPr>
        <w:t>zalecenia przedwdrożeniowe dla Zamawiającego, jeżeli będą wymagane.</w:t>
      </w:r>
    </w:p>
    <w:p w:rsidR="0044138D" w:rsidRPr="004D3D8D" w:rsidRDefault="0044138D" w:rsidP="009E0B02">
      <w:pPr>
        <w:pStyle w:val="Akapitzlist"/>
        <w:numPr>
          <w:ilvl w:val="0"/>
          <w:numId w:val="3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 w:rsidRPr="004D3D8D">
        <w:rPr>
          <w:color w:val="000000" w:themeColor="text1"/>
        </w:rPr>
        <w:t>Akceptacja projektu technicznego wraz z procedurami oraz wzorami raportów z testów będzie podlegała następującej procedurze:</w:t>
      </w:r>
    </w:p>
    <w:p w:rsidR="0044138D" w:rsidRPr="00A4250B" w:rsidRDefault="0044138D" w:rsidP="009E0B02">
      <w:pPr>
        <w:pStyle w:val="Akapitzlist"/>
        <w:numPr>
          <w:ilvl w:val="0"/>
          <w:numId w:val="5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 w:rsidRPr="00A4250B">
        <w:rPr>
          <w:color w:val="000000" w:themeColor="text1"/>
        </w:rPr>
        <w:t xml:space="preserve">Wykonawca przekaże do akceptacji Zamawiającego, drogą elektroniczną </w:t>
      </w:r>
      <w:r>
        <w:rPr>
          <w:color w:val="000000" w:themeColor="text1"/>
        </w:rPr>
        <w:t>p</w:t>
      </w:r>
      <w:r w:rsidRPr="00A4250B">
        <w:rPr>
          <w:color w:val="000000" w:themeColor="text1"/>
        </w:rPr>
        <w:t>rojekt techniczny wraz z procedurami oraz wzorami raportów z testów,</w:t>
      </w:r>
      <w:r w:rsidRPr="00A4250B" w:rsidDel="00061FE5">
        <w:rPr>
          <w:color w:val="000000" w:themeColor="text1"/>
        </w:rPr>
        <w:t xml:space="preserve"> </w:t>
      </w:r>
      <w:r w:rsidRPr="00A4250B">
        <w:rPr>
          <w:color w:val="000000" w:themeColor="text1"/>
        </w:rPr>
        <w:t xml:space="preserve">w terminie nie dłuższym niż </w:t>
      </w:r>
      <w:r w:rsidR="004C433B">
        <w:rPr>
          <w:color w:val="000000" w:themeColor="text1"/>
        </w:rPr>
        <w:t>10</w:t>
      </w:r>
      <w:r w:rsidRPr="00A4250B">
        <w:rPr>
          <w:color w:val="000000" w:themeColor="text1"/>
        </w:rPr>
        <w:t xml:space="preserve"> dni </w:t>
      </w:r>
      <w:r>
        <w:rPr>
          <w:color w:val="000000" w:themeColor="text1"/>
        </w:rPr>
        <w:t xml:space="preserve">kalendarzowych </w:t>
      </w:r>
      <w:r w:rsidRPr="00A4250B">
        <w:rPr>
          <w:color w:val="000000" w:themeColor="text1"/>
        </w:rPr>
        <w:t>od dnia zawarcia umowy,</w:t>
      </w:r>
    </w:p>
    <w:p w:rsidR="0044138D" w:rsidRPr="00A4250B" w:rsidRDefault="0044138D" w:rsidP="009E0B02">
      <w:pPr>
        <w:pStyle w:val="Akapitzlist"/>
        <w:numPr>
          <w:ilvl w:val="0"/>
          <w:numId w:val="5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 w:rsidRPr="00A4250B">
        <w:rPr>
          <w:color w:val="000000" w:themeColor="text1"/>
        </w:rPr>
        <w:t xml:space="preserve">Zamawiający w terminie nie dłuższym niż </w:t>
      </w:r>
      <w:r w:rsidR="00A4081D">
        <w:rPr>
          <w:color w:val="000000" w:themeColor="text1"/>
        </w:rPr>
        <w:t>5</w:t>
      </w:r>
      <w:r w:rsidRPr="00A4250B">
        <w:rPr>
          <w:color w:val="000000" w:themeColor="text1"/>
        </w:rPr>
        <w:t xml:space="preserve"> dni </w:t>
      </w:r>
      <w:r>
        <w:rPr>
          <w:color w:val="000000" w:themeColor="text1"/>
        </w:rPr>
        <w:t xml:space="preserve">roboczych </w:t>
      </w:r>
      <w:r w:rsidRPr="00A4250B">
        <w:rPr>
          <w:color w:val="000000" w:themeColor="text1"/>
        </w:rPr>
        <w:t>od dnia dostarczenia przez Wykonawcę kompletnych dokumentów, poinformuje Wykonawcę o ich akceptacji lub konieczności wprowadzenia zmian,</w:t>
      </w:r>
    </w:p>
    <w:p w:rsidR="0044138D" w:rsidRPr="00A4250B" w:rsidRDefault="0044138D" w:rsidP="009E0B02">
      <w:pPr>
        <w:pStyle w:val="Akapitzlist"/>
        <w:numPr>
          <w:ilvl w:val="0"/>
          <w:numId w:val="5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 w:rsidRPr="00A4250B">
        <w:rPr>
          <w:color w:val="000000" w:themeColor="text1"/>
        </w:rPr>
        <w:lastRenderedPageBreak/>
        <w:t xml:space="preserve">wszystkie uwagi do dokumentów zgłoszone przez Zamawiającego zostaną wprowadzone przez Wykonawcę, w terminie nie dłuższym niż </w:t>
      </w:r>
      <w:r>
        <w:rPr>
          <w:color w:val="000000" w:themeColor="text1"/>
        </w:rPr>
        <w:t>5</w:t>
      </w:r>
      <w:r w:rsidRPr="00A4250B">
        <w:rPr>
          <w:color w:val="000000" w:themeColor="text1"/>
        </w:rPr>
        <w:t xml:space="preserve"> dni </w:t>
      </w:r>
      <w:r>
        <w:rPr>
          <w:color w:val="000000" w:themeColor="text1"/>
        </w:rPr>
        <w:t xml:space="preserve">roboczych </w:t>
      </w:r>
      <w:r w:rsidRPr="00A4250B">
        <w:rPr>
          <w:color w:val="000000" w:themeColor="text1"/>
        </w:rPr>
        <w:t>od dnia ich otrzymania,</w:t>
      </w:r>
    </w:p>
    <w:p w:rsidR="0044138D" w:rsidRPr="00A4250B" w:rsidRDefault="0044138D" w:rsidP="009E0B02">
      <w:pPr>
        <w:pStyle w:val="Akapitzlist"/>
        <w:numPr>
          <w:ilvl w:val="0"/>
          <w:numId w:val="5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 w:rsidRPr="00A4250B">
        <w:rPr>
          <w:color w:val="000000" w:themeColor="text1"/>
        </w:rPr>
        <w:t xml:space="preserve">Zamawiający w terminie </w:t>
      </w:r>
      <w:r>
        <w:rPr>
          <w:color w:val="000000" w:themeColor="text1"/>
        </w:rPr>
        <w:t>5</w:t>
      </w:r>
      <w:r w:rsidRPr="00A4250B">
        <w:rPr>
          <w:color w:val="000000" w:themeColor="text1"/>
        </w:rPr>
        <w:t xml:space="preserve"> dni </w:t>
      </w:r>
      <w:r>
        <w:rPr>
          <w:color w:val="000000" w:themeColor="text1"/>
        </w:rPr>
        <w:t xml:space="preserve">roboczych </w:t>
      </w:r>
      <w:r w:rsidRPr="00A4250B">
        <w:rPr>
          <w:color w:val="000000" w:themeColor="text1"/>
        </w:rPr>
        <w:t>od dnia powtórnego dostarczenia przez Wykonawcę poprawionych dokumentów, poinformuje Wykonawcę o ich akceptacji lub konieczności wprowadzenia zmian,</w:t>
      </w:r>
    </w:p>
    <w:p w:rsidR="0044138D" w:rsidRPr="00A4250B" w:rsidRDefault="0044138D" w:rsidP="009E0B02">
      <w:pPr>
        <w:pStyle w:val="Akapitzlist"/>
        <w:numPr>
          <w:ilvl w:val="0"/>
          <w:numId w:val="5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 w:rsidRPr="00A4250B">
        <w:rPr>
          <w:color w:val="000000" w:themeColor="text1"/>
        </w:rPr>
        <w:t xml:space="preserve">w przypadku nieuwzględnienia uwag Zamawiającego, Zamawiający zastrzega sobie prawo do wskazania ostatecznego terminu dostarczenia </w:t>
      </w:r>
      <w:r>
        <w:rPr>
          <w:color w:val="000000" w:themeColor="text1"/>
        </w:rPr>
        <w:t>p</w:t>
      </w:r>
      <w:r w:rsidRPr="00A4250B">
        <w:rPr>
          <w:color w:val="000000" w:themeColor="text1"/>
        </w:rPr>
        <w:t>rojektu technicznego wraz z procedurami oraz wzorami raportów z testów</w:t>
      </w:r>
      <w:r>
        <w:rPr>
          <w:color w:val="000000" w:themeColor="text1"/>
        </w:rPr>
        <w:t>,</w:t>
      </w:r>
    </w:p>
    <w:p w:rsidR="0044138D" w:rsidRDefault="0044138D" w:rsidP="009E0B02">
      <w:pPr>
        <w:pStyle w:val="Akapitzlist"/>
        <w:numPr>
          <w:ilvl w:val="0"/>
          <w:numId w:val="5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 w:rsidRPr="00A4250B">
        <w:rPr>
          <w:color w:val="000000" w:themeColor="text1"/>
        </w:rPr>
        <w:t xml:space="preserve">zatwierdzony </w:t>
      </w:r>
      <w:r>
        <w:rPr>
          <w:color w:val="000000" w:themeColor="text1"/>
        </w:rPr>
        <w:t>p</w:t>
      </w:r>
      <w:r w:rsidRPr="00A4250B">
        <w:rPr>
          <w:color w:val="000000" w:themeColor="text1"/>
        </w:rPr>
        <w:t>rojekt techniczny wraz procedurami zostaną przekazane Zamawiającemu w 1 egzemplarzu oraz w formie elektronicznej na pendrive, w postaci plików do edycji i PDF.</w:t>
      </w:r>
    </w:p>
    <w:p w:rsidR="0044138D" w:rsidRPr="00A32A99" w:rsidRDefault="0044138D" w:rsidP="009E0B02">
      <w:pPr>
        <w:pStyle w:val="Akapitzlist"/>
        <w:numPr>
          <w:ilvl w:val="0"/>
          <w:numId w:val="3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>
        <w:rPr>
          <w:color w:val="000000" w:themeColor="text1"/>
        </w:rPr>
        <w:t>Wykonawca zrealizuje wdrożenia i migracje zgodnie z zakresem prac i projektem technicznym.</w:t>
      </w:r>
    </w:p>
    <w:p w:rsidR="0044138D" w:rsidRPr="00A32A99" w:rsidRDefault="0044138D" w:rsidP="009E0B02">
      <w:pPr>
        <w:pStyle w:val="Akapitzlist"/>
        <w:numPr>
          <w:ilvl w:val="0"/>
          <w:numId w:val="3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>
        <w:rPr>
          <w:color w:val="000000" w:themeColor="text1"/>
        </w:rPr>
        <w:t xml:space="preserve">Wykonawca </w:t>
      </w:r>
      <w:r w:rsidRPr="00A32A99">
        <w:rPr>
          <w:color w:val="000000" w:themeColor="text1"/>
        </w:rPr>
        <w:t>przeprowadzi testy akceptacyjne wdrożon</w:t>
      </w:r>
      <w:r>
        <w:rPr>
          <w:color w:val="000000" w:themeColor="text1"/>
        </w:rPr>
        <w:t>ych</w:t>
      </w:r>
      <w:r w:rsidRPr="00A32A99">
        <w:rPr>
          <w:color w:val="000000" w:themeColor="text1"/>
        </w:rPr>
        <w:t xml:space="preserve"> rozwiąza</w:t>
      </w:r>
      <w:r>
        <w:rPr>
          <w:color w:val="000000" w:themeColor="text1"/>
        </w:rPr>
        <w:t>ń</w:t>
      </w:r>
      <w:r w:rsidRPr="00A32A99">
        <w:rPr>
          <w:color w:val="000000" w:themeColor="text1"/>
        </w:rPr>
        <w:t>.</w:t>
      </w:r>
    </w:p>
    <w:p w:rsidR="0044138D" w:rsidRPr="00A32A99" w:rsidRDefault="0044138D" w:rsidP="009E0B02">
      <w:pPr>
        <w:pStyle w:val="Akapitzlist"/>
        <w:numPr>
          <w:ilvl w:val="0"/>
          <w:numId w:val="3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 w:rsidRPr="00A32A99">
        <w:rPr>
          <w:color w:val="000000" w:themeColor="text1"/>
        </w:rPr>
        <w:t xml:space="preserve">Wykonawca opracuje i przedstawi raport z testów. W przypadku zrealizowania scenariusza testowego z wynikiem negatywnym, Wykonawca przedstawi nowe rozwiązanie wadliwego elementu systemu i przeprowadzi ponowny test wg scenariusza, w terminie wyznaczonym przez Zamawiającego, dochowując terminu wykonania Umowy. Raport z testów </w:t>
      </w:r>
      <w:r>
        <w:rPr>
          <w:color w:val="000000" w:themeColor="text1"/>
        </w:rPr>
        <w:t xml:space="preserve">powinien </w:t>
      </w:r>
      <w:r w:rsidRPr="00A32A99">
        <w:rPr>
          <w:color w:val="000000" w:themeColor="text1"/>
        </w:rPr>
        <w:t>zawierać listę przeprowadzonych testów wraz z ich wynikiem</w:t>
      </w:r>
      <w:r>
        <w:rPr>
          <w:color w:val="000000" w:themeColor="text1"/>
        </w:rPr>
        <w:t>.</w:t>
      </w:r>
    </w:p>
    <w:p w:rsidR="0044138D" w:rsidRDefault="0044138D" w:rsidP="009E0B02">
      <w:pPr>
        <w:pStyle w:val="Akapitzlist"/>
        <w:numPr>
          <w:ilvl w:val="0"/>
          <w:numId w:val="3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>
        <w:rPr>
          <w:color w:val="000000" w:themeColor="text1"/>
        </w:rPr>
        <w:t xml:space="preserve">Wykonawca </w:t>
      </w:r>
      <w:r w:rsidRPr="00A32A99">
        <w:rPr>
          <w:color w:val="000000" w:themeColor="text1"/>
        </w:rPr>
        <w:t xml:space="preserve">opracuje </w:t>
      </w:r>
      <w:r>
        <w:rPr>
          <w:color w:val="000000" w:themeColor="text1"/>
        </w:rPr>
        <w:t>d</w:t>
      </w:r>
      <w:r w:rsidRPr="00A32A99">
        <w:rPr>
          <w:color w:val="000000" w:themeColor="text1"/>
        </w:rPr>
        <w:t>okumentację powykonawczą oraz procedury administracyjne i</w:t>
      </w:r>
      <w:r>
        <w:rPr>
          <w:color w:val="000000" w:themeColor="text1"/>
        </w:rPr>
        <w:t> </w:t>
      </w:r>
      <w:r w:rsidRPr="00A32A99">
        <w:rPr>
          <w:color w:val="000000" w:themeColor="text1"/>
        </w:rPr>
        <w:t>eksploatacyjne w zakresie uzgodnionym z Zamawiającym, w tym:</w:t>
      </w:r>
      <w:r>
        <w:rPr>
          <w:color w:val="000000" w:themeColor="text1"/>
        </w:rPr>
        <w:t xml:space="preserve"> d</w:t>
      </w:r>
      <w:r w:rsidRPr="00A32A99">
        <w:rPr>
          <w:color w:val="000000" w:themeColor="text1"/>
        </w:rPr>
        <w:t>okumentację wdrożeniową,</w:t>
      </w:r>
      <w:r>
        <w:rPr>
          <w:color w:val="000000" w:themeColor="text1"/>
        </w:rPr>
        <w:t xml:space="preserve"> p</w:t>
      </w:r>
      <w:r w:rsidRPr="00A32A99">
        <w:rPr>
          <w:color w:val="000000" w:themeColor="text1"/>
        </w:rPr>
        <w:t xml:space="preserve">rocedury </w:t>
      </w:r>
      <w:r>
        <w:rPr>
          <w:color w:val="000000" w:themeColor="text1"/>
        </w:rPr>
        <w:t>o</w:t>
      </w:r>
      <w:r w:rsidRPr="00A32A99">
        <w:rPr>
          <w:color w:val="000000" w:themeColor="text1"/>
        </w:rPr>
        <w:t>peracyjne,</w:t>
      </w:r>
      <w:r>
        <w:rPr>
          <w:color w:val="000000" w:themeColor="text1"/>
        </w:rPr>
        <w:t xml:space="preserve"> p</w:t>
      </w:r>
      <w:r w:rsidRPr="00A32A99">
        <w:rPr>
          <w:color w:val="000000" w:themeColor="text1"/>
        </w:rPr>
        <w:t>rocedury „</w:t>
      </w:r>
      <w:proofErr w:type="spellStart"/>
      <w:r w:rsidRPr="00A32A99">
        <w:rPr>
          <w:color w:val="000000" w:themeColor="text1"/>
        </w:rPr>
        <w:t>Disaster</w:t>
      </w:r>
      <w:proofErr w:type="spellEnd"/>
      <w:r w:rsidRPr="00A32A99">
        <w:rPr>
          <w:color w:val="000000" w:themeColor="text1"/>
        </w:rPr>
        <w:t xml:space="preserve"> </w:t>
      </w:r>
      <w:proofErr w:type="spellStart"/>
      <w:r w:rsidRPr="00A32A99">
        <w:rPr>
          <w:color w:val="000000" w:themeColor="text1"/>
        </w:rPr>
        <w:t>Recovery</w:t>
      </w:r>
      <w:proofErr w:type="spellEnd"/>
      <w:r w:rsidRPr="00A32A99">
        <w:rPr>
          <w:color w:val="000000" w:themeColor="text1"/>
        </w:rPr>
        <w:t>”</w:t>
      </w:r>
      <w:r>
        <w:rPr>
          <w:color w:val="000000" w:themeColor="text1"/>
        </w:rPr>
        <w:t>. Akceptacja dokumentacji powykonawczej będzie przebiegała zgodnie z zasadami określonymi dla akceptacji projektu technicznego.</w:t>
      </w:r>
    </w:p>
    <w:p w:rsidR="0044138D" w:rsidRPr="00075331" w:rsidRDefault="0044138D" w:rsidP="009E0B02">
      <w:pPr>
        <w:pStyle w:val="Akapitzlist"/>
        <w:numPr>
          <w:ilvl w:val="0"/>
          <w:numId w:val="7"/>
        </w:numPr>
        <w:spacing w:line="276" w:lineRule="auto"/>
        <w:jc w:val="both"/>
      </w:pPr>
      <w:r w:rsidRPr="00075331">
        <w:t>Instruktaże</w:t>
      </w:r>
      <w:r>
        <w:t xml:space="preserve"> w zakresie dostarczonego</w:t>
      </w:r>
      <w:r w:rsidR="00A4081D">
        <w:t xml:space="preserve"> sprzętu i</w:t>
      </w:r>
      <w:r>
        <w:t xml:space="preserve"> oprogramowania – wymagania minimalne</w:t>
      </w:r>
      <w:r w:rsidRPr="00075331">
        <w:t>.</w:t>
      </w:r>
    </w:p>
    <w:p w:rsidR="0044138D" w:rsidRDefault="0044138D" w:rsidP="009E0B02">
      <w:pPr>
        <w:pStyle w:val="Akapitzlist"/>
        <w:numPr>
          <w:ilvl w:val="0"/>
          <w:numId w:val="6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 w:rsidRPr="009B43B9">
        <w:rPr>
          <w:color w:val="000000" w:themeColor="text1"/>
        </w:rPr>
        <w:t xml:space="preserve">Instruktaże stanowiskowe będą prowadzone w języku polskim </w:t>
      </w:r>
      <w:r>
        <w:rPr>
          <w:color w:val="000000" w:themeColor="text1"/>
        </w:rPr>
        <w:t xml:space="preserve">w siedzibie Zamawiającego </w:t>
      </w:r>
      <w:r w:rsidRPr="009B43B9">
        <w:rPr>
          <w:color w:val="000000" w:themeColor="text1"/>
        </w:rPr>
        <w:t>i</w:t>
      </w:r>
      <w:r>
        <w:rPr>
          <w:color w:val="000000" w:themeColor="text1"/>
        </w:rPr>
        <w:t> </w:t>
      </w:r>
      <w:r w:rsidRPr="009B43B9">
        <w:rPr>
          <w:color w:val="000000" w:themeColor="text1"/>
        </w:rPr>
        <w:t xml:space="preserve">obejmą zakresem m.in.:  </w:t>
      </w:r>
      <w:r>
        <w:rPr>
          <w:color w:val="000000" w:themeColor="text1"/>
        </w:rPr>
        <w:t>u</w:t>
      </w:r>
      <w:r w:rsidRPr="009B43B9">
        <w:rPr>
          <w:color w:val="000000" w:themeColor="text1"/>
        </w:rPr>
        <w:t xml:space="preserve">żytkowane </w:t>
      </w:r>
      <w:r>
        <w:rPr>
          <w:color w:val="000000" w:themeColor="text1"/>
        </w:rPr>
        <w:t>o</w:t>
      </w:r>
      <w:r w:rsidRPr="009B43B9">
        <w:rPr>
          <w:color w:val="000000" w:themeColor="text1"/>
        </w:rPr>
        <w:t>programowani</w:t>
      </w:r>
      <w:r>
        <w:rPr>
          <w:color w:val="000000" w:themeColor="text1"/>
        </w:rPr>
        <w:t>e; b</w:t>
      </w:r>
      <w:r w:rsidRPr="009B43B9">
        <w:rPr>
          <w:color w:val="000000" w:themeColor="text1"/>
        </w:rPr>
        <w:t xml:space="preserve">udowę, architekturę i konfigurację </w:t>
      </w:r>
      <w:r w:rsidR="00486C86">
        <w:rPr>
          <w:color w:val="000000" w:themeColor="text1"/>
        </w:rPr>
        <w:t>r</w:t>
      </w:r>
      <w:r w:rsidR="00486C86" w:rsidRPr="009B43B9">
        <w:rPr>
          <w:color w:val="000000" w:themeColor="text1"/>
        </w:rPr>
        <w:t>ozwiązania</w:t>
      </w:r>
      <w:r w:rsidR="00486C86">
        <w:rPr>
          <w:color w:val="000000" w:themeColor="text1"/>
        </w:rPr>
        <w:t xml:space="preserve">; </w:t>
      </w:r>
      <w:r w:rsidR="00486C86" w:rsidRPr="009B43B9">
        <w:rPr>
          <w:color w:val="000000" w:themeColor="text1"/>
        </w:rPr>
        <w:t>administrowanie</w:t>
      </w:r>
      <w:r w:rsidRPr="009B43B9">
        <w:rPr>
          <w:color w:val="000000" w:themeColor="text1"/>
        </w:rPr>
        <w:t xml:space="preserve"> wdrożonym </w:t>
      </w:r>
      <w:r>
        <w:rPr>
          <w:color w:val="000000" w:themeColor="text1"/>
        </w:rPr>
        <w:t>r</w:t>
      </w:r>
      <w:r w:rsidRPr="009B43B9">
        <w:rPr>
          <w:color w:val="000000" w:themeColor="text1"/>
        </w:rPr>
        <w:t>ozwiązaniem</w:t>
      </w:r>
      <w:r>
        <w:rPr>
          <w:color w:val="000000" w:themeColor="text1"/>
        </w:rPr>
        <w:t>.</w:t>
      </w:r>
    </w:p>
    <w:p w:rsidR="0044138D" w:rsidRDefault="0044138D" w:rsidP="009E0B02">
      <w:pPr>
        <w:pStyle w:val="Akapitzlist"/>
        <w:numPr>
          <w:ilvl w:val="0"/>
          <w:numId w:val="6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 w:rsidRPr="009B43B9">
        <w:rPr>
          <w:color w:val="000000" w:themeColor="text1"/>
        </w:rPr>
        <w:t xml:space="preserve">Instruktaże stanowiskowe zostaną przeprowadzone przez </w:t>
      </w:r>
      <w:r>
        <w:rPr>
          <w:color w:val="000000" w:themeColor="text1"/>
        </w:rPr>
        <w:t>osoby prowadzące prace wdrożeniowe w ramach niniejszego zamówienia.</w:t>
      </w:r>
    </w:p>
    <w:p w:rsidR="0044138D" w:rsidRDefault="0044138D" w:rsidP="009E0B02">
      <w:pPr>
        <w:pStyle w:val="Akapitzlist"/>
        <w:numPr>
          <w:ilvl w:val="0"/>
          <w:numId w:val="6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>
        <w:rPr>
          <w:color w:val="000000" w:themeColor="text1"/>
        </w:rPr>
        <w:t xml:space="preserve">Instruktaże powinny trwać minimum 8 godzin lekcyjnych (45 minut) i będą przeprowadzone dla wskazanej przez Zamawiającego liczby osób (maksymalnie </w:t>
      </w:r>
      <w:r w:rsidR="00BE6BBD">
        <w:rPr>
          <w:color w:val="000000" w:themeColor="text1"/>
        </w:rPr>
        <w:t>2</w:t>
      </w:r>
      <w:r>
        <w:rPr>
          <w:color w:val="000000" w:themeColor="text1"/>
        </w:rPr>
        <w:t xml:space="preserve"> osoby).</w:t>
      </w:r>
    </w:p>
    <w:p w:rsidR="0044138D" w:rsidRDefault="0044138D" w:rsidP="009E0B02">
      <w:pPr>
        <w:pStyle w:val="Akapitzlist"/>
        <w:numPr>
          <w:ilvl w:val="0"/>
          <w:numId w:val="6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 w:rsidRPr="009B43B9">
        <w:rPr>
          <w:color w:val="000000" w:themeColor="text1"/>
        </w:rPr>
        <w:t>Zamawiający dopuszcza przeprowadzeni</w:t>
      </w:r>
      <w:r>
        <w:rPr>
          <w:color w:val="000000" w:themeColor="text1"/>
        </w:rPr>
        <w:t>a</w:t>
      </w:r>
      <w:r w:rsidRPr="009B43B9">
        <w:rPr>
          <w:color w:val="000000" w:themeColor="text1"/>
        </w:rPr>
        <w:t xml:space="preserve"> instruktaży w trybie zdalnym</w:t>
      </w:r>
      <w:r>
        <w:rPr>
          <w:color w:val="000000" w:themeColor="text1"/>
        </w:rPr>
        <w:t xml:space="preserve"> (online).</w:t>
      </w:r>
    </w:p>
    <w:p w:rsidR="0044138D" w:rsidRPr="009B43B9" w:rsidRDefault="0044138D" w:rsidP="009E0B02">
      <w:pPr>
        <w:pStyle w:val="Akapitzlist"/>
        <w:numPr>
          <w:ilvl w:val="0"/>
          <w:numId w:val="6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 w:rsidRPr="009B43B9">
        <w:rPr>
          <w:color w:val="000000" w:themeColor="text1"/>
        </w:rPr>
        <w:t xml:space="preserve">Administratorzy </w:t>
      </w:r>
      <w:r>
        <w:rPr>
          <w:color w:val="000000" w:themeColor="text1"/>
        </w:rPr>
        <w:t>r</w:t>
      </w:r>
      <w:r w:rsidRPr="009B43B9">
        <w:rPr>
          <w:color w:val="000000" w:themeColor="text1"/>
        </w:rPr>
        <w:t>ozwiązania po zakończeniu Instruktaży stanowiskowych muszą w</w:t>
      </w:r>
      <w:r>
        <w:rPr>
          <w:color w:val="000000" w:themeColor="text1"/>
        </w:rPr>
        <w:t> </w:t>
      </w:r>
      <w:r w:rsidRPr="009B43B9">
        <w:rPr>
          <w:color w:val="000000" w:themeColor="text1"/>
        </w:rPr>
        <w:t xml:space="preserve">szczególności umieć wykonywać czynności administracyjne, a także instalacji </w:t>
      </w:r>
      <w:r>
        <w:rPr>
          <w:color w:val="000000" w:themeColor="text1"/>
        </w:rPr>
        <w:t>o</w:t>
      </w:r>
      <w:r w:rsidRPr="009B43B9">
        <w:rPr>
          <w:color w:val="000000" w:themeColor="text1"/>
        </w:rPr>
        <w:t>programowania, znać i umieć realizować procedury backupu. Ponadto powinni znać typowe zagrożenia i problemy związane z</w:t>
      </w:r>
      <w:r>
        <w:rPr>
          <w:color w:val="000000" w:themeColor="text1"/>
        </w:rPr>
        <w:t xml:space="preserve"> </w:t>
      </w:r>
      <w:r w:rsidRPr="009B43B9">
        <w:rPr>
          <w:color w:val="000000" w:themeColor="text1"/>
        </w:rPr>
        <w:t xml:space="preserve">funkcjonowaniem rozwiązania, a także sposoby ich przeciwdziałania, wykrywania i usuwania. Powinni umieć instalować, konfigurować, rekonfigurować, monitorować i prawidłowo eksploatować </w:t>
      </w:r>
      <w:r>
        <w:rPr>
          <w:color w:val="000000" w:themeColor="text1"/>
        </w:rPr>
        <w:t>wdrożone rozwiązanie</w:t>
      </w:r>
      <w:r w:rsidRPr="009B43B9">
        <w:rPr>
          <w:color w:val="000000" w:themeColor="text1"/>
        </w:rPr>
        <w:t>, jak również znać jego wdrożoną konfigurację</w:t>
      </w:r>
      <w:r>
        <w:rPr>
          <w:color w:val="000000" w:themeColor="text1"/>
        </w:rPr>
        <w:t>.</w:t>
      </w:r>
    </w:p>
    <w:p w:rsidR="005E01B1" w:rsidRDefault="0044138D" w:rsidP="009E0B02">
      <w:pPr>
        <w:pStyle w:val="Akapitzlist"/>
        <w:numPr>
          <w:ilvl w:val="0"/>
          <w:numId w:val="7"/>
        </w:numPr>
        <w:spacing w:line="276" w:lineRule="auto"/>
        <w:jc w:val="both"/>
      </w:pPr>
      <w:r>
        <w:t>W poniżej wskazanych wymaganiach Zamawiający posługuje się terminami „musi”, „powinien”, „możliwość” określając w ten sposób wymaganą funkcjonalność oprogramowania.</w:t>
      </w:r>
    </w:p>
    <w:p w:rsidR="005E01B1" w:rsidRDefault="005E01B1">
      <w:r>
        <w:br w:type="page"/>
      </w:r>
    </w:p>
    <w:p w:rsidR="000C7B9C" w:rsidRDefault="000C7B9C" w:rsidP="000C7B9C">
      <w:pPr>
        <w:pStyle w:val="Nagwek1"/>
        <w:numPr>
          <w:ilvl w:val="1"/>
          <w:numId w:val="1"/>
        </w:numPr>
        <w:spacing w:after="240" w:line="276" w:lineRule="auto"/>
      </w:pPr>
      <w:bookmarkStart w:id="7" w:name="_Toc210373438"/>
      <w:r>
        <w:lastRenderedPageBreak/>
        <w:t>Zakup serwera (1 szt.).</w:t>
      </w:r>
      <w:bookmarkEnd w:id="7"/>
    </w:p>
    <w:p w:rsidR="00D27129" w:rsidRPr="00940B65" w:rsidRDefault="00D27129" w:rsidP="00D27129">
      <w:pPr>
        <w:spacing w:before="100" w:beforeAutospacing="1" w:after="120" w:line="276" w:lineRule="auto"/>
        <w:jc w:val="both"/>
      </w:pPr>
      <w:r w:rsidRPr="00940B65">
        <w:t>Minimalne parametry techniczne serwera:</w:t>
      </w:r>
    </w:p>
    <w:p w:rsidR="00D27129" w:rsidRPr="00940B65" w:rsidRDefault="00D27129" w:rsidP="009E0B02">
      <w:pPr>
        <w:pStyle w:val="Akapitzlist"/>
        <w:numPr>
          <w:ilvl w:val="0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940B65">
        <w:rPr>
          <w:rFonts w:cstheme="minorHAnsi"/>
          <w:lang w:eastAsia="pl-PL"/>
        </w:rPr>
        <w:t xml:space="preserve">Obudowa </w:t>
      </w:r>
      <w:r>
        <w:rPr>
          <w:rFonts w:cstheme="minorHAnsi"/>
          <w:lang w:eastAsia="pl-PL"/>
        </w:rPr>
        <w:t>t</w:t>
      </w:r>
      <w:r w:rsidRPr="00AF21A7">
        <w:rPr>
          <w:rFonts w:cstheme="minorHAnsi"/>
          <w:lang w:eastAsia="pl-PL"/>
        </w:rPr>
        <w:t xml:space="preserve">ypu </w:t>
      </w:r>
      <w:r>
        <w:rPr>
          <w:rFonts w:cstheme="minorHAnsi"/>
          <w:lang w:eastAsia="pl-PL"/>
        </w:rPr>
        <w:t>RACK</w:t>
      </w:r>
      <w:r w:rsidRPr="00AF21A7">
        <w:rPr>
          <w:rFonts w:cstheme="minorHAnsi"/>
          <w:lang w:eastAsia="pl-PL"/>
        </w:rPr>
        <w:t xml:space="preserve"> o wysokości maksymalnie </w:t>
      </w:r>
      <w:r>
        <w:rPr>
          <w:rFonts w:cstheme="minorHAnsi"/>
          <w:lang w:eastAsia="pl-PL"/>
        </w:rPr>
        <w:t>2</w:t>
      </w:r>
      <w:r w:rsidRPr="00AF21A7">
        <w:rPr>
          <w:rFonts w:cstheme="minorHAnsi"/>
          <w:lang w:eastAsia="pl-PL"/>
        </w:rPr>
        <w:t xml:space="preserve">U z możliwością instalacji </w:t>
      </w:r>
      <w:r>
        <w:rPr>
          <w:rFonts w:cstheme="minorHAnsi"/>
          <w:lang w:eastAsia="pl-PL"/>
        </w:rPr>
        <w:t>min.</w:t>
      </w:r>
      <w:r w:rsidRPr="00AF21A7">
        <w:rPr>
          <w:rFonts w:cstheme="minorHAnsi"/>
          <w:lang w:eastAsia="pl-PL"/>
        </w:rPr>
        <w:t xml:space="preserve"> </w:t>
      </w:r>
      <w:r>
        <w:rPr>
          <w:rFonts w:cstheme="minorHAnsi"/>
          <w:lang w:eastAsia="pl-PL"/>
        </w:rPr>
        <w:t>1</w:t>
      </w:r>
      <w:r w:rsidR="006B292A">
        <w:rPr>
          <w:rFonts w:cstheme="minorHAnsi"/>
          <w:lang w:eastAsia="pl-PL"/>
        </w:rPr>
        <w:t>2</w:t>
      </w:r>
      <w:r w:rsidRPr="00AF21A7">
        <w:rPr>
          <w:rFonts w:cstheme="minorHAnsi"/>
          <w:lang w:eastAsia="pl-PL"/>
        </w:rPr>
        <w:t xml:space="preserve"> dysków </w:t>
      </w:r>
      <w:r>
        <w:rPr>
          <w:rFonts w:cstheme="minorHAnsi"/>
          <w:lang w:eastAsia="pl-PL"/>
        </w:rPr>
        <w:t>2</w:t>
      </w:r>
      <w:r w:rsidRPr="00AF21A7">
        <w:rPr>
          <w:rFonts w:cstheme="minorHAnsi"/>
          <w:lang w:eastAsia="pl-PL"/>
        </w:rPr>
        <w:t xml:space="preserve">.5" Hot-Plug, z kompletem szyn umożliwiających montaż w szafie </w:t>
      </w:r>
      <w:r>
        <w:rPr>
          <w:rFonts w:cstheme="minorHAnsi"/>
          <w:lang w:eastAsia="pl-PL"/>
        </w:rPr>
        <w:t>RACK</w:t>
      </w:r>
      <w:r w:rsidRPr="00AF21A7">
        <w:rPr>
          <w:rFonts w:cstheme="minorHAnsi"/>
          <w:lang w:eastAsia="pl-PL"/>
        </w:rPr>
        <w:t xml:space="preserve"> i wysuwanie serwera do celów serwisowych</w:t>
      </w:r>
      <w:r>
        <w:rPr>
          <w:rFonts w:cstheme="minorHAnsi"/>
          <w:lang w:eastAsia="pl-PL"/>
        </w:rPr>
        <w:t>.</w:t>
      </w:r>
    </w:p>
    <w:p w:rsidR="00D27129" w:rsidRDefault="00D27129" w:rsidP="009E0B02">
      <w:pPr>
        <w:pStyle w:val="Akapitzlist"/>
        <w:numPr>
          <w:ilvl w:val="0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940B65">
        <w:rPr>
          <w:rFonts w:cstheme="minorHAnsi"/>
          <w:lang w:eastAsia="pl-PL"/>
        </w:rPr>
        <w:t xml:space="preserve">Płyta główna z możliwością zainstalowania </w:t>
      </w:r>
      <w:r>
        <w:rPr>
          <w:rFonts w:cstheme="minorHAnsi"/>
          <w:lang w:eastAsia="pl-PL"/>
        </w:rPr>
        <w:t>dwóch procesorów.</w:t>
      </w:r>
    </w:p>
    <w:p w:rsidR="00D27129" w:rsidRPr="000D226D" w:rsidRDefault="00D27129" w:rsidP="009E0B02">
      <w:pPr>
        <w:pStyle w:val="Akapitzlist"/>
        <w:numPr>
          <w:ilvl w:val="0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AF21A7">
        <w:rPr>
          <w:rFonts w:cstheme="minorHAnsi"/>
          <w:lang w:eastAsia="pl-PL"/>
        </w:rPr>
        <w:t>Zainstalowan</w:t>
      </w:r>
      <w:r>
        <w:rPr>
          <w:rFonts w:cstheme="minorHAnsi"/>
          <w:lang w:eastAsia="pl-PL"/>
        </w:rPr>
        <w:t>e</w:t>
      </w:r>
      <w:r w:rsidRPr="00AF21A7">
        <w:rPr>
          <w:rFonts w:cstheme="minorHAnsi"/>
          <w:lang w:eastAsia="pl-PL"/>
        </w:rPr>
        <w:t xml:space="preserve"> </w:t>
      </w:r>
      <w:r>
        <w:rPr>
          <w:rFonts w:cstheme="minorHAnsi"/>
          <w:lang w:eastAsia="pl-PL"/>
        </w:rPr>
        <w:t>dwa procesory</w:t>
      </w:r>
      <w:r w:rsidRPr="00AF21A7">
        <w:rPr>
          <w:rFonts w:cstheme="minorHAnsi"/>
          <w:lang w:eastAsia="pl-PL"/>
        </w:rPr>
        <w:t xml:space="preserve"> klasy x86 dedykowan</w:t>
      </w:r>
      <w:r>
        <w:rPr>
          <w:rFonts w:cstheme="minorHAnsi"/>
          <w:lang w:eastAsia="pl-PL"/>
        </w:rPr>
        <w:t>e</w:t>
      </w:r>
      <w:r w:rsidRPr="00AF21A7">
        <w:rPr>
          <w:rFonts w:cstheme="minorHAnsi"/>
          <w:lang w:eastAsia="pl-PL"/>
        </w:rPr>
        <w:t xml:space="preserve"> do pracy z oferowanym serwerem, umożliwiając</w:t>
      </w:r>
      <w:r>
        <w:rPr>
          <w:rFonts w:cstheme="minorHAnsi"/>
          <w:lang w:eastAsia="pl-PL"/>
        </w:rPr>
        <w:t>e</w:t>
      </w:r>
      <w:r w:rsidRPr="00AF21A7">
        <w:rPr>
          <w:rFonts w:cstheme="minorHAnsi"/>
          <w:lang w:eastAsia="pl-PL"/>
        </w:rPr>
        <w:t xml:space="preserve"> osiągnięcie przez serwer wyniku co </w:t>
      </w:r>
      <w:r w:rsidRPr="0049351B">
        <w:rPr>
          <w:rFonts w:cstheme="minorHAnsi"/>
          <w:lang w:eastAsia="pl-PL"/>
        </w:rPr>
        <w:t xml:space="preserve">najmniej </w:t>
      </w:r>
      <w:r w:rsidR="00106EF2">
        <w:rPr>
          <w:rFonts w:cstheme="minorHAnsi"/>
          <w:lang w:eastAsia="pl-PL"/>
        </w:rPr>
        <w:t>245</w:t>
      </w:r>
      <w:r>
        <w:rPr>
          <w:rFonts w:cstheme="minorHAnsi"/>
          <w:lang w:eastAsia="pl-PL"/>
        </w:rPr>
        <w:t xml:space="preserve"> </w:t>
      </w:r>
      <w:r w:rsidRPr="0049351B">
        <w:rPr>
          <w:rFonts w:cstheme="minorHAnsi"/>
          <w:lang w:eastAsia="pl-PL"/>
        </w:rPr>
        <w:t>punktów</w:t>
      </w:r>
      <w:r w:rsidRPr="00AF21A7">
        <w:rPr>
          <w:rFonts w:cstheme="minorHAnsi"/>
          <w:lang w:eastAsia="pl-PL"/>
        </w:rPr>
        <w:t xml:space="preserve"> w teście SPECrate2017_</w:t>
      </w:r>
      <w:r w:rsidR="00646281">
        <w:rPr>
          <w:rFonts w:cstheme="minorHAnsi"/>
          <w:lang w:eastAsia="pl-PL"/>
        </w:rPr>
        <w:t>fp</w:t>
      </w:r>
      <w:r w:rsidRPr="00AF21A7">
        <w:rPr>
          <w:rFonts w:cstheme="minorHAnsi"/>
          <w:lang w:eastAsia="pl-PL"/>
        </w:rPr>
        <w:t xml:space="preserve">_base dla konfiguracji </w:t>
      </w:r>
      <w:r>
        <w:rPr>
          <w:rFonts w:cstheme="minorHAnsi"/>
          <w:lang w:eastAsia="pl-PL"/>
        </w:rPr>
        <w:t xml:space="preserve">dwuprocesorowej </w:t>
      </w:r>
      <w:r w:rsidRPr="00AF21A7">
        <w:rPr>
          <w:rFonts w:cstheme="minorHAnsi"/>
          <w:lang w:eastAsia="pl-PL"/>
        </w:rPr>
        <w:t xml:space="preserve">według wyników publikowanych na stronie </w:t>
      </w:r>
      <w:hyperlink r:id="rId8" w:history="1">
        <w:r w:rsidRPr="00AF21A7">
          <w:rPr>
            <w:rFonts w:cstheme="minorHAnsi"/>
            <w:lang w:eastAsia="pl-PL"/>
          </w:rPr>
          <w:t>www.spec.org</w:t>
        </w:r>
      </w:hyperlink>
      <w:r w:rsidRPr="000D226D">
        <w:rPr>
          <w:rFonts w:cstheme="minorHAnsi"/>
          <w:lang w:eastAsia="pl-PL"/>
        </w:rPr>
        <w:t>. Zamawiający żąda załączenia do oferty przedmiotowego środka dowodowego określonego w SWZ potwierdzającego spełnienie dla procesora dedykowanego do pracy z zaoferowanym serwerem żądanej przez Zamawiającego wydajności.</w:t>
      </w:r>
    </w:p>
    <w:p w:rsidR="00D27129" w:rsidRPr="00940B65" w:rsidRDefault="00D27129" w:rsidP="009E0B02">
      <w:pPr>
        <w:pStyle w:val="Akapitzlist"/>
        <w:numPr>
          <w:ilvl w:val="0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940B65">
        <w:rPr>
          <w:rFonts w:cstheme="minorHAnsi"/>
          <w:lang w:eastAsia="pl-PL"/>
        </w:rPr>
        <w:t xml:space="preserve">Pamięć RAM: </w:t>
      </w:r>
      <w:r>
        <w:rPr>
          <w:rFonts w:cstheme="minorHAnsi"/>
          <w:lang w:eastAsia="pl-PL"/>
        </w:rPr>
        <w:t xml:space="preserve">zainstalowane </w:t>
      </w:r>
      <w:r w:rsidRPr="00940B65">
        <w:rPr>
          <w:rFonts w:cstheme="minorHAnsi"/>
          <w:lang w:eastAsia="pl-PL"/>
        </w:rPr>
        <w:t xml:space="preserve">min. </w:t>
      </w:r>
      <w:r>
        <w:rPr>
          <w:rFonts w:cstheme="minorHAnsi"/>
          <w:lang w:eastAsia="pl-PL"/>
        </w:rPr>
        <w:t>256</w:t>
      </w:r>
      <w:r w:rsidRPr="00940B65">
        <w:rPr>
          <w:rFonts w:cstheme="minorHAnsi"/>
          <w:lang w:eastAsia="pl-PL"/>
        </w:rPr>
        <w:t xml:space="preserve"> GB</w:t>
      </w:r>
      <w:r>
        <w:rPr>
          <w:rFonts w:cstheme="minorHAnsi"/>
          <w:lang w:eastAsia="pl-PL"/>
        </w:rPr>
        <w:t xml:space="preserve"> w najnowszej technologii oferowanej przez producenta, p</w:t>
      </w:r>
      <w:r w:rsidRPr="00AF21A7">
        <w:rPr>
          <w:rFonts w:cstheme="minorHAnsi"/>
          <w:lang w:eastAsia="pl-PL"/>
        </w:rPr>
        <w:t xml:space="preserve">łyta główna musi obsługiwać do </w:t>
      </w:r>
      <w:r>
        <w:rPr>
          <w:rFonts w:cstheme="minorHAnsi"/>
          <w:lang w:eastAsia="pl-PL"/>
        </w:rPr>
        <w:t xml:space="preserve">min. </w:t>
      </w:r>
      <w:r w:rsidRPr="00AF21A7">
        <w:rPr>
          <w:rFonts w:cstheme="minorHAnsi"/>
          <w:lang w:eastAsia="pl-PL"/>
        </w:rPr>
        <w:t>1</w:t>
      </w:r>
      <w:r>
        <w:rPr>
          <w:rFonts w:cstheme="minorHAnsi"/>
          <w:lang w:eastAsia="pl-PL"/>
        </w:rPr>
        <w:t xml:space="preserve"> </w:t>
      </w:r>
      <w:r w:rsidRPr="00AF21A7">
        <w:rPr>
          <w:rFonts w:cstheme="minorHAnsi"/>
          <w:lang w:eastAsia="pl-PL"/>
        </w:rPr>
        <w:t>TB pamięci RAM DDR5</w:t>
      </w:r>
      <w:r>
        <w:rPr>
          <w:rFonts w:cstheme="minorHAnsi"/>
          <w:lang w:eastAsia="pl-PL"/>
        </w:rPr>
        <w:t>, co najmniej 12 slotów na pamięć wolnych w oferowanej konfiguracji.</w:t>
      </w:r>
    </w:p>
    <w:p w:rsidR="00D27129" w:rsidRPr="00940B65" w:rsidRDefault="00D27129" w:rsidP="009E0B02">
      <w:pPr>
        <w:pStyle w:val="Akapitzlist"/>
        <w:numPr>
          <w:ilvl w:val="0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940B65">
        <w:rPr>
          <w:rFonts w:cstheme="minorHAnsi"/>
          <w:lang w:eastAsia="pl-PL"/>
        </w:rPr>
        <w:t xml:space="preserve">Zabezpieczenia pamięci RAM: </w:t>
      </w:r>
      <w:proofErr w:type="spellStart"/>
      <w:r w:rsidRPr="00940B65">
        <w:t>Memory</w:t>
      </w:r>
      <w:proofErr w:type="spellEnd"/>
      <w:r w:rsidRPr="00940B65">
        <w:t xml:space="preserve"> </w:t>
      </w:r>
      <w:proofErr w:type="spellStart"/>
      <w:r w:rsidRPr="00940B65">
        <w:t>Rank</w:t>
      </w:r>
      <w:proofErr w:type="spellEnd"/>
      <w:r w:rsidRPr="00940B65">
        <w:t xml:space="preserve"> Sparing i/lub </w:t>
      </w:r>
      <w:proofErr w:type="spellStart"/>
      <w:r w:rsidRPr="00940B65">
        <w:t>Memory</w:t>
      </w:r>
      <w:proofErr w:type="spellEnd"/>
      <w:r w:rsidRPr="00940B65">
        <w:t xml:space="preserve"> Mirror i/lub Single </w:t>
      </w:r>
      <w:proofErr w:type="spellStart"/>
      <w:r w:rsidRPr="00940B65">
        <w:t>Device</w:t>
      </w:r>
      <w:proofErr w:type="spellEnd"/>
      <w:r w:rsidRPr="00940B65">
        <w:t xml:space="preserve"> Data </w:t>
      </w:r>
      <w:proofErr w:type="spellStart"/>
      <w:r w:rsidRPr="00940B65">
        <w:t>Correction</w:t>
      </w:r>
      <w:proofErr w:type="spellEnd"/>
      <w:r w:rsidRPr="00940B65">
        <w:t xml:space="preserve"> i/lub </w:t>
      </w:r>
      <w:proofErr w:type="spellStart"/>
      <w:r w:rsidRPr="00940B65">
        <w:t>Memory</w:t>
      </w:r>
      <w:proofErr w:type="spellEnd"/>
      <w:r w:rsidRPr="00940B65">
        <w:t xml:space="preserve"> </w:t>
      </w:r>
      <w:proofErr w:type="spellStart"/>
      <w:r w:rsidRPr="00940B65">
        <w:t>Lockstep</w:t>
      </w:r>
      <w:proofErr w:type="spellEnd"/>
      <w:r w:rsidRPr="00940B65">
        <w:t xml:space="preserve"> i/lub </w:t>
      </w:r>
      <w:proofErr w:type="spellStart"/>
      <w:r w:rsidRPr="00940B65">
        <w:t>Chipkill</w:t>
      </w:r>
      <w:proofErr w:type="spellEnd"/>
      <w:r w:rsidRPr="00940B65">
        <w:t xml:space="preserve"> i/lub </w:t>
      </w:r>
      <w:proofErr w:type="spellStart"/>
      <w:r w:rsidRPr="00940B65">
        <w:t>Extended</w:t>
      </w:r>
      <w:proofErr w:type="spellEnd"/>
      <w:r w:rsidRPr="00940B65">
        <w:t xml:space="preserve"> ECC i/lub </w:t>
      </w:r>
      <w:proofErr w:type="spellStart"/>
      <w:r w:rsidRPr="00940B65">
        <w:t>Advanced</w:t>
      </w:r>
      <w:proofErr w:type="spellEnd"/>
      <w:r w:rsidRPr="00940B65">
        <w:t xml:space="preserve"> </w:t>
      </w:r>
      <w:proofErr w:type="spellStart"/>
      <w:r w:rsidRPr="00940B65">
        <w:t>Memory</w:t>
      </w:r>
      <w:proofErr w:type="spellEnd"/>
      <w:r w:rsidRPr="00940B65">
        <w:t xml:space="preserve"> </w:t>
      </w:r>
      <w:proofErr w:type="spellStart"/>
      <w:r w:rsidRPr="00940B65">
        <w:t>Device</w:t>
      </w:r>
      <w:proofErr w:type="spellEnd"/>
      <w:r w:rsidRPr="00940B65">
        <w:t xml:space="preserve"> </w:t>
      </w:r>
      <w:proofErr w:type="spellStart"/>
      <w:r w:rsidRPr="00940B65">
        <w:t>Correction</w:t>
      </w:r>
      <w:proofErr w:type="spellEnd"/>
      <w:r w:rsidRPr="00940B65">
        <w:t xml:space="preserve"> i/lub AMD </w:t>
      </w:r>
      <w:proofErr w:type="spellStart"/>
      <w:r w:rsidRPr="00940B65">
        <w:t>Memory</w:t>
      </w:r>
      <w:proofErr w:type="spellEnd"/>
      <w:r w:rsidRPr="00940B65">
        <w:t xml:space="preserve"> </w:t>
      </w:r>
      <w:proofErr w:type="spellStart"/>
      <w:r w:rsidRPr="00940B65">
        <w:t>Guard</w:t>
      </w:r>
      <w:proofErr w:type="spellEnd"/>
      <w:r w:rsidRPr="00940B65">
        <w:t xml:space="preserve"> i/lub ECC</w:t>
      </w:r>
      <w:r>
        <w:t xml:space="preserve"> i/lub </w:t>
      </w:r>
      <w:proofErr w:type="spellStart"/>
      <w:r w:rsidRPr="006163B3">
        <w:t>Demand</w:t>
      </w:r>
      <w:proofErr w:type="spellEnd"/>
      <w:r w:rsidRPr="006163B3">
        <w:t xml:space="preserve"> </w:t>
      </w:r>
      <w:proofErr w:type="spellStart"/>
      <w:r w:rsidRPr="006163B3">
        <w:t>Scrubbing</w:t>
      </w:r>
      <w:proofErr w:type="spellEnd"/>
      <w:r>
        <w:t xml:space="preserve"> i/lub </w:t>
      </w:r>
      <w:r w:rsidRPr="006163B3">
        <w:t xml:space="preserve">Patrol </w:t>
      </w:r>
      <w:proofErr w:type="spellStart"/>
      <w:r w:rsidRPr="006163B3">
        <w:t>Scrubbing</w:t>
      </w:r>
      <w:proofErr w:type="spellEnd"/>
      <w:r>
        <w:t xml:space="preserve"> i/lub </w:t>
      </w:r>
      <w:r w:rsidRPr="006163B3">
        <w:t xml:space="preserve">Permanent </w:t>
      </w:r>
      <w:proofErr w:type="spellStart"/>
      <w:r w:rsidRPr="006163B3">
        <w:t>Fault</w:t>
      </w:r>
      <w:proofErr w:type="spellEnd"/>
      <w:r w:rsidRPr="006163B3">
        <w:t xml:space="preserve"> </w:t>
      </w:r>
      <w:proofErr w:type="spellStart"/>
      <w:r w:rsidRPr="006163B3">
        <w:t>Detection</w:t>
      </w:r>
      <w:proofErr w:type="spellEnd"/>
      <w:r w:rsidRPr="006163B3">
        <w:t xml:space="preserve"> (PFD)</w:t>
      </w:r>
      <w:r>
        <w:t>.</w:t>
      </w:r>
    </w:p>
    <w:p w:rsidR="00D27129" w:rsidRPr="00940B65" w:rsidRDefault="00D27129" w:rsidP="009E0B02">
      <w:pPr>
        <w:pStyle w:val="Akapitzlist"/>
        <w:numPr>
          <w:ilvl w:val="0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AF21A7">
        <w:rPr>
          <w:rFonts w:cstheme="minorHAnsi"/>
          <w:lang w:eastAsia="pl-PL"/>
        </w:rPr>
        <w:t>Zintegrowana karta graficzna ze złączem VGA.</w:t>
      </w:r>
    </w:p>
    <w:p w:rsidR="00D27129" w:rsidRPr="00106EF2" w:rsidRDefault="00D27129" w:rsidP="009E0B02">
      <w:pPr>
        <w:pStyle w:val="Akapitzlist"/>
        <w:numPr>
          <w:ilvl w:val="0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106EF2">
        <w:rPr>
          <w:rFonts w:cstheme="minorHAnsi"/>
          <w:lang w:eastAsia="pl-PL"/>
        </w:rPr>
        <w:t xml:space="preserve">Interfejsy sieciowe: Wbudowane co najmniej </w:t>
      </w:r>
      <w:r w:rsidR="006B292A" w:rsidRPr="00106EF2">
        <w:rPr>
          <w:rFonts w:cstheme="minorHAnsi"/>
          <w:lang w:eastAsia="pl-PL"/>
        </w:rPr>
        <w:t>2</w:t>
      </w:r>
      <w:r w:rsidRPr="00106EF2">
        <w:rPr>
          <w:rFonts w:cstheme="minorHAnsi"/>
          <w:lang w:eastAsia="pl-PL"/>
        </w:rPr>
        <w:t xml:space="preserve"> interfejsy sieciowe 1Gb Ethernet w standardzie </w:t>
      </w:r>
      <w:proofErr w:type="spellStart"/>
      <w:r w:rsidRPr="00106EF2">
        <w:rPr>
          <w:rFonts w:cstheme="minorHAnsi"/>
          <w:lang w:eastAsia="pl-PL"/>
        </w:rPr>
        <w:t>BaseT</w:t>
      </w:r>
      <w:proofErr w:type="spellEnd"/>
      <w:r w:rsidRPr="00106EF2">
        <w:rPr>
          <w:rFonts w:cstheme="minorHAnsi"/>
          <w:lang w:eastAsia="pl-PL"/>
        </w:rPr>
        <w:t xml:space="preserve">, </w:t>
      </w:r>
      <w:r w:rsidR="006B292A" w:rsidRPr="00106EF2">
        <w:rPr>
          <w:rFonts w:cstheme="minorHAnsi"/>
          <w:lang w:eastAsia="pl-PL"/>
        </w:rPr>
        <w:t xml:space="preserve">co najmniej 2 interfejsy sieciowe </w:t>
      </w:r>
      <w:r w:rsidR="00106EF2" w:rsidRPr="00106EF2">
        <w:rPr>
          <w:rFonts w:cstheme="minorHAnsi"/>
          <w:lang w:eastAsia="pl-PL"/>
        </w:rPr>
        <w:t xml:space="preserve">10Gb Ethernet w standardzie 10GBase-T, </w:t>
      </w:r>
      <w:r w:rsidRPr="00106EF2">
        <w:rPr>
          <w:rFonts w:cstheme="minorHAnsi"/>
          <w:lang w:eastAsia="pl-PL"/>
        </w:rPr>
        <w:t>co najmniej 2 interfejsy w 10GbE w standardzie SFP+ z dedykowanymi wkładkami do każdego portu.</w:t>
      </w:r>
    </w:p>
    <w:p w:rsidR="00D27129" w:rsidRDefault="00D27129" w:rsidP="009E0B02">
      <w:pPr>
        <w:pStyle w:val="Akapitzlist"/>
        <w:numPr>
          <w:ilvl w:val="0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FC7128">
        <w:rPr>
          <w:rFonts w:cstheme="minorHAnsi"/>
          <w:lang w:eastAsia="pl-PL"/>
        </w:rPr>
        <w:t xml:space="preserve">Dyski twarde: Możliwość instalacji dysków SATA, SAS, SSD. Zainstalowane </w:t>
      </w:r>
      <w:r w:rsidR="006B292A">
        <w:rPr>
          <w:rFonts w:cstheme="minorHAnsi"/>
          <w:lang w:eastAsia="pl-PL"/>
        </w:rPr>
        <w:t xml:space="preserve">5 dysków twardych </w:t>
      </w:r>
      <w:r w:rsidR="006B292A" w:rsidRPr="00FC7128">
        <w:rPr>
          <w:rFonts w:cstheme="minorHAnsi"/>
          <w:lang w:eastAsia="pl-PL"/>
        </w:rPr>
        <w:t>Hot-Plug</w:t>
      </w:r>
      <w:r w:rsidR="006B292A">
        <w:rPr>
          <w:rFonts w:cstheme="minorHAnsi"/>
          <w:lang w:eastAsia="pl-PL"/>
        </w:rPr>
        <w:t xml:space="preserve"> SAS </w:t>
      </w:r>
      <w:r w:rsidR="006B292A" w:rsidRPr="00FC7128">
        <w:rPr>
          <w:rFonts w:cstheme="minorHAnsi"/>
          <w:lang w:eastAsia="pl-PL"/>
        </w:rPr>
        <w:t xml:space="preserve">o prędkości min. </w:t>
      </w:r>
      <w:r w:rsidR="006B292A">
        <w:rPr>
          <w:rFonts w:cstheme="minorHAnsi"/>
          <w:lang w:eastAsia="pl-PL"/>
        </w:rPr>
        <w:t>12</w:t>
      </w:r>
      <w:r w:rsidR="006B292A" w:rsidRPr="00FC7128">
        <w:rPr>
          <w:rFonts w:cstheme="minorHAnsi"/>
          <w:lang w:eastAsia="pl-PL"/>
        </w:rPr>
        <w:t xml:space="preserve"> </w:t>
      </w:r>
      <w:proofErr w:type="spellStart"/>
      <w:r w:rsidR="006B292A" w:rsidRPr="00FC7128">
        <w:rPr>
          <w:rFonts w:cstheme="minorHAnsi"/>
          <w:lang w:eastAsia="pl-PL"/>
        </w:rPr>
        <w:t>Gb</w:t>
      </w:r>
      <w:proofErr w:type="spellEnd"/>
      <w:r w:rsidR="006B292A" w:rsidRPr="00FC7128">
        <w:rPr>
          <w:rFonts w:cstheme="minorHAnsi"/>
          <w:lang w:eastAsia="pl-PL"/>
        </w:rPr>
        <w:t xml:space="preserve">/s o pojemności co najmniej </w:t>
      </w:r>
      <w:r w:rsidR="006B292A">
        <w:rPr>
          <w:rFonts w:cstheme="minorHAnsi"/>
          <w:lang w:eastAsia="pl-PL"/>
        </w:rPr>
        <w:t>2,4 TB</w:t>
      </w:r>
      <w:r w:rsidR="006B292A" w:rsidRPr="00FC7128">
        <w:rPr>
          <w:rFonts w:cstheme="minorHAnsi"/>
          <w:lang w:eastAsia="pl-PL"/>
        </w:rPr>
        <w:t xml:space="preserve"> każdy</w:t>
      </w:r>
      <w:r w:rsidRPr="00FC7128">
        <w:rPr>
          <w:rFonts w:cstheme="minorHAnsi"/>
          <w:lang w:eastAsia="pl-PL"/>
        </w:rPr>
        <w:t>.</w:t>
      </w:r>
      <w:r w:rsidRPr="00D77D65">
        <w:rPr>
          <w:rFonts w:cstheme="minorHAnsi"/>
          <w:lang w:eastAsia="pl-PL"/>
        </w:rPr>
        <w:t xml:space="preserve"> W</w:t>
      </w:r>
      <w:r w:rsidRPr="00AF21A7">
        <w:rPr>
          <w:rFonts w:cstheme="minorHAnsi"/>
          <w:lang w:eastAsia="pl-PL"/>
        </w:rPr>
        <w:t xml:space="preserve"> przypadku uszkodzenia dysku w okresie gwarancji Zamawiający wymaga by uszkodzony dysk pozostał jego własnością.</w:t>
      </w:r>
    </w:p>
    <w:p w:rsidR="00D27129" w:rsidRDefault="00D27129" w:rsidP="009E0B02">
      <w:pPr>
        <w:pStyle w:val="Akapitzlist"/>
        <w:numPr>
          <w:ilvl w:val="0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940B65">
        <w:rPr>
          <w:rFonts w:cstheme="minorHAnsi"/>
          <w:lang w:eastAsia="pl-PL"/>
        </w:rPr>
        <w:t>Kontroler RAID: Sprzętowy kontroler dyskowy</w:t>
      </w:r>
      <w:r>
        <w:rPr>
          <w:rFonts w:cstheme="minorHAnsi"/>
          <w:lang w:eastAsia="pl-PL"/>
        </w:rPr>
        <w:t xml:space="preserve"> umożliwiający </w:t>
      </w:r>
      <w:r w:rsidRPr="00940B65">
        <w:rPr>
          <w:rFonts w:cstheme="minorHAnsi"/>
          <w:lang w:eastAsia="pl-PL"/>
        </w:rPr>
        <w:t xml:space="preserve">konfiguracje poziomów RAID: 0, 1, 5, </w:t>
      </w:r>
      <w:r>
        <w:rPr>
          <w:rFonts w:cstheme="minorHAnsi"/>
          <w:lang w:eastAsia="pl-PL"/>
        </w:rPr>
        <w:t xml:space="preserve">6, </w:t>
      </w:r>
      <w:r w:rsidRPr="00940B65">
        <w:rPr>
          <w:rFonts w:cstheme="minorHAnsi"/>
          <w:lang w:eastAsia="pl-PL"/>
        </w:rPr>
        <w:t>10, 50</w:t>
      </w:r>
      <w:r>
        <w:rPr>
          <w:rFonts w:cstheme="minorHAnsi"/>
          <w:lang w:eastAsia="pl-PL"/>
        </w:rPr>
        <w:t>, 60.</w:t>
      </w:r>
    </w:p>
    <w:p w:rsidR="00D27129" w:rsidRDefault="00D27129" w:rsidP="009E0B02">
      <w:pPr>
        <w:pStyle w:val="Akapitzlist"/>
        <w:numPr>
          <w:ilvl w:val="0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 xml:space="preserve">Wsparcie dla dysków </w:t>
      </w:r>
      <w:proofErr w:type="spellStart"/>
      <w:r>
        <w:rPr>
          <w:rFonts w:cstheme="minorHAnsi"/>
          <w:lang w:eastAsia="pl-PL"/>
        </w:rPr>
        <w:t>samoszyfrujących</w:t>
      </w:r>
      <w:proofErr w:type="spellEnd"/>
      <w:r>
        <w:rPr>
          <w:rFonts w:cstheme="minorHAnsi"/>
          <w:lang w:eastAsia="pl-PL"/>
        </w:rPr>
        <w:t>.</w:t>
      </w:r>
    </w:p>
    <w:p w:rsidR="00D27129" w:rsidRPr="00D14BC6" w:rsidRDefault="00D27129" w:rsidP="009E0B02">
      <w:pPr>
        <w:pStyle w:val="Akapitzlist"/>
        <w:numPr>
          <w:ilvl w:val="0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D14BC6">
        <w:rPr>
          <w:rFonts w:cstheme="minorHAnsi"/>
          <w:lang w:eastAsia="pl-PL"/>
        </w:rPr>
        <w:t>Wbudowane porty:</w:t>
      </w:r>
      <w:r w:rsidRPr="00D14BC6">
        <w:rPr>
          <w:rFonts w:cstheme="minorHAnsi"/>
          <w:lang w:eastAsia="pl-PL"/>
        </w:rPr>
        <w:tab/>
        <w:t xml:space="preserve"> min. 3 porty USB, w tym co najmniej 1 port USB musi być dostępny z przodu obudowy. Ilość dostępnych portów USB nie może być osiągnięta poprzez stosowanie zewnętrznych przejściówek, rozgałęziaczy czy dodatkowych kart rozszerzeń zajmujących jakikolwiek slot PCI Express serwera.</w:t>
      </w:r>
    </w:p>
    <w:p w:rsidR="00D27129" w:rsidRPr="00940B65" w:rsidRDefault="00D27129" w:rsidP="009E0B02">
      <w:pPr>
        <w:pStyle w:val="Akapitzlist"/>
        <w:numPr>
          <w:ilvl w:val="0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940B65">
        <w:rPr>
          <w:rFonts w:cstheme="minorHAnsi"/>
          <w:lang w:eastAsia="pl-PL"/>
        </w:rPr>
        <w:t>Wentylatory: typu Hot Plug.</w:t>
      </w:r>
    </w:p>
    <w:p w:rsidR="00D27129" w:rsidRPr="00940B65" w:rsidRDefault="00D27129" w:rsidP="009E0B02">
      <w:pPr>
        <w:pStyle w:val="Akapitzlist"/>
        <w:numPr>
          <w:ilvl w:val="0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940B65">
        <w:rPr>
          <w:rFonts w:cstheme="minorHAnsi"/>
          <w:lang w:eastAsia="pl-PL"/>
        </w:rPr>
        <w:t>Zasilacze: Redundantne typu Hot Plug</w:t>
      </w:r>
      <w:r>
        <w:rPr>
          <w:rFonts w:cstheme="minorHAnsi"/>
          <w:lang w:eastAsia="pl-PL"/>
        </w:rPr>
        <w:t xml:space="preserve"> o mocy nieprzekraczającej </w:t>
      </w:r>
      <w:r w:rsidR="00BE012C">
        <w:rPr>
          <w:rFonts w:cstheme="minorHAnsi"/>
          <w:lang w:eastAsia="pl-PL"/>
        </w:rPr>
        <w:t>15</w:t>
      </w:r>
      <w:r w:rsidRPr="003952DB">
        <w:rPr>
          <w:rFonts w:cstheme="minorHAnsi"/>
          <w:lang w:eastAsia="pl-PL"/>
        </w:rPr>
        <w:t>00</w:t>
      </w:r>
      <w:r>
        <w:rPr>
          <w:rFonts w:cstheme="minorHAnsi"/>
          <w:lang w:eastAsia="pl-PL"/>
        </w:rPr>
        <w:t xml:space="preserve"> W każdy.</w:t>
      </w:r>
    </w:p>
    <w:p w:rsidR="00D27129" w:rsidRPr="00940B65" w:rsidRDefault="00D27129" w:rsidP="009E0B02">
      <w:pPr>
        <w:pStyle w:val="Akapitzlist"/>
        <w:numPr>
          <w:ilvl w:val="0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940B65">
        <w:rPr>
          <w:rFonts w:cstheme="minorHAnsi"/>
          <w:lang w:eastAsia="pl-PL"/>
        </w:rPr>
        <w:t>Karta</w:t>
      </w:r>
      <w:r>
        <w:rPr>
          <w:rFonts w:cstheme="minorHAnsi"/>
          <w:lang w:eastAsia="pl-PL"/>
        </w:rPr>
        <w:t>/moduł</w:t>
      </w:r>
      <w:r w:rsidRPr="00940B65">
        <w:rPr>
          <w:rFonts w:cstheme="minorHAnsi"/>
          <w:lang w:eastAsia="pl-PL"/>
        </w:rPr>
        <w:t xml:space="preserve"> zarządzania: Niezależn</w:t>
      </w:r>
      <w:r>
        <w:rPr>
          <w:rFonts w:cstheme="minorHAnsi"/>
          <w:lang w:eastAsia="pl-PL"/>
        </w:rPr>
        <w:t>y</w:t>
      </w:r>
      <w:r w:rsidRPr="00940B65">
        <w:rPr>
          <w:rFonts w:cstheme="minorHAnsi"/>
          <w:lang w:eastAsia="pl-PL"/>
        </w:rPr>
        <w:t xml:space="preserve"> od zainstalowanego na serwerze systemu operacyjnego posiadając</w:t>
      </w:r>
      <w:r>
        <w:rPr>
          <w:rFonts w:cstheme="minorHAnsi"/>
          <w:lang w:eastAsia="pl-PL"/>
        </w:rPr>
        <w:t>y</w:t>
      </w:r>
      <w:r w:rsidRPr="00940B65">
        <w:rPr>
          <w:rFonts w:cstheme="minorHAnsi"/>
          <w:lang w:eastAsia="pl-PL"/>
        </w:rPr>
        <w:t xml:space="preserve"> dedykowane </w:t>
      </w:r>
      <w:r>
        <w:rPr>
          <w:rFonts w:cstheme="minorHAnsi"/>
          <w:lang w:eastAsia="pl-PL"/>
        </w:rPr>
        <w:t>złącze</w:t>
      </w:r>
      <w:r w:rsidRPr="00940B65">
        <w:rPr>
          <w:rFonts w:cstheme="minorHAnsi"/>
          <w:lang w:eastAsia="pl-PL"/>
        </w:rPr>
        <w:t xml:space="preserve"> umożliwiając</w:t>
      </w:r>
      <w:r>
        <w:rPr>
          <w:rFonts w:cstheme="minorHAnsi"/>
          <w:lang w:eastAsia="pl-PL"/>
        </w:rPr>
        <w:t>y zdalne zarządzanie</w:t>
      </w:r>
      <w:r w:rsidRPr="00940B65">
        <w:rPr>
          <w:rFonts w:cstheme="minorHAnsi"/>
          <w:lang w:eastAsia="pl-PL"/>
        </w:rPr>
        <w:t>:</w:t>
      </w:r>
    </w:p>
    <w:p w:rsidR="00D27129" w:rsidRPr="00940B65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940B65">
        <w:rPr>
          <w:rFonts w:cstheme="minorHAnsi"/>
          <w:lang w:eastAsia="pl-PL"/>
        </w:rPr>
        <w:t>zdalny dostęp do graficznego interfejsu Web karty zarządzającej,</w:t>
      </w:r>
    </w:p>
    <w:p w:rsidR="00D27129" w:rsidRPr="00940B65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940B65">
        <w:rPr>
          <w:rFonts w:cstheme="minorHAnsi"/>
          <w:lang w:eastAsia="pl-PL"/>
        </w:rPr>
        <w:t>zdalne monitorowanie i informowanie o statusie serwera,</w:t>
      </w:r>
    </w:p>
    <w:p w:rsidR="00D27129" w:rsidRPr="00940B65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940B65">
        <w:rPr>
          <w:rFonts w:cstheme="minorHAnsi"/>
          <w:lang w:eastAsia="pl-PL"/>
        </w:rPr>
        <w:t>szyfrowane połączenie oraz autentykacje i autoryzację użytkownika,</w:t>
      </w:r>
    </w:p>
    <w:p w:rsidR="00D27129" w:rsidRPr="00940B65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940B65">
        <w:rPr>
          <w:rFonts w:cstheme="minorHAnsi"/>
          <w:lang w:eastAsia="pl-PL"/>
        </w:rPr>
        <w:t>możliwość podmontowania zdalnych wirtualnych napędów,</w:t>
      </w:r>
    </w:p>
    <w:p w:rsidR="00D27129" w:rsidRPr="00940B65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940B65">
        <w:rPr>
          <w:rFonts w:cstheme="minorHAnsi"/>
          <w:lang w:eastAsia="pl-PL"/>
        </w:rPr>
        <w:t>wirtualną konsolę z dostępem do myszy, klawiatury,</w:t>
      </w:r>
    </w:p>
    <w:p w:rsidR="00D27129" w:rsidRPr="00940B65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940B65">
        <w:rPr>
          <w:rFonts w:cstheme="minorHAnsi"/>
          <w:lang w:eastAsia="pl-PL"/>
        </w:rPr>
        <w:t>wsparcie dla IPv6,</w:t>
      </w:r>
    </w:p>
    <w:p w:rsidR="00D27129" w:rsidRPr="00940B65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940B65">
        <w:rPr>
          <w:rFonts w:cstheme="minorHAnsi"/>
          <w:lang w:eastAsia="pl-PL"/>
        </w:rPr>
        <w:lastRenderedPageBreak/>
        <w:t xml:space="preserve">wsparcie dla SNMP; IPMI2.0, VLAN </w:t>
      </w:r>
      <w:proofErr w:type="spellStart"/>
      <w:r w:rsidRPr="00940B65">
        <w:rPr>
          <w:rFonts w:cstheme="minorHAnsi"/>
          <w:lang w:eastAsia="pl-PL"/>
        </w:rPr>
        <w:t>tagging</w:t>
      </w:r>
      <w:proofErr w:type="spellEnd"/>
      <w:r w:rsidRPr="00940B65">
        <w:rPr>
          <w:rFonts w:cstheme="minorHAnsi"/>
          <w:lang w:eastAsia="pl-PL"/>
        </w:rPr>
        <w:t>, SSH,</w:t>
      </w:r>
    </w:p>
    <w:p w:rsidR="00D27129" w:rsidRPr="00940B65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940B65">
        <w:rPr>
          <w:rFonts w:cstheme="minorHAnsi"/>
          <w:lang w:eastAsia="pl-PL"/>
        </w:rPr>
        <w:t>integracja z Active Directory,</w:t>
      </w:r>
    </w:p>
    <w:p w:rsidR="00D27129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940B65">
        <w:rPr>
          <w:rFonts w:cstheme="minorHAnsi"/>
          <w:lang w:eastAsia="pl-PL"/>
        </w:rPr>
        <w:t xml:space="preserve">wsparcie dla </w:t>
      </w:r>
      <w:proofErr w:type="spellStart"/>
      <w:r w:rsidRPr="00940B65">
        <w:rPr>
          <w:rFonts w:cstheme="minorHAnsi"/>
          <w:lang w:eastAsia="pl-PL"/>
        </w:rPr>
        <w:t>dynamic</w:t>
      </w:r>
      <w:proofErr w:type="spellEnd"/>
      <w:r w:rsidRPr="00940B65">
        <w:rPr>
          <w:rFonts w:cstheme="minorHAnsi"/>
          <w:lang w:eastAsia="pl-PL"/>
        </w:rPr>
        <w:t xml:space="preserve"> DNS</w:t>
      </w:r>
      <w:r>
        <w:rPr>
          <w:rFonts w:cstheme="minorHAnsi"/>
          <w:lang w:eastAsia="pl-PL"/>
        </w:rPr>
        <w:t>.</w:t>
      </w:r>
    </w:p>
    <w:p w:rsidR="00D27129" w:rsidRDefault="00D27129" w:rsidP="009E0B02">
      <w:pPr>
        <w:pStyle w:val="Akapitzlist"/>
        <w:numPr>
          <w:ilvl w:val="0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System bezpieczeństwa serwera realizowany poprzez następujące zabezpieczenia:</w:t>
      </w:r>
    </w:p>
    <w:p w:rsidR="00D27129" w:rsidRPr="00D14BC6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w</w:t>
      </w:r>
      <w:r w:rsidRPr="00D14BC6">
        <w:rPr>
          <w:rFonts w:cstheme="minorHAnsi"/>
          <w:lang w:eastAsia="pl-PL"/>
        </w:rPr>
        <w:t>budowane diody informacyjne lub wyświetlacz informujące o stanie serwera</w:t>
      </w:r>
      <w:r>
        <w:rPr>
          <w:rFonts w:cstheme="minorHAnsi"/>
          <w:lang w:eastAsia="pl-PL"/>
        </w:rPr>
        <w:t>;</w:t>
      </w:r>
    </w:p>
    <w:p w:rsidR="00D27129" w:rsidRPr="00D14BC6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b</w:t>
      </w:r>
      <w:r w:rsidRPr="00D14BC6">
        <w:rPr>
          <w:rFonts w:cstheme="minorHAnsi"/>
          <w:lang w:eastAsia="pl-PL"/>
        </w:rPr>
        <w:t>lokada zamykana na klucz służąca do ochrony nieautoryzowanego dostępu do dysków twardych</w:t>
      </w:r>
      <w:r>
        <w:rPr>
          <w:rFonts w:cstheme="minorHAnsi"/>
          <w:lang w:eastAsia="pl-PL"/>
        </w:rPr>
        <w:t>;</w:t>
      </w:r>
    </w:p>
    <w:p w:rsidR="00D27129" w:rsidRPr="00D14BC6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m</w:t>
      </w:r>
      <w:r w:rsidRPr="00D14BC6">
        <w:rPr>
          <w:rFonts w:cstheme="minorHAnsi"/>
          <w:lang w:eastAsia="pl-PL"/>
        </w:rPr>
        <w:t>oduł TPM 2.0</w:t>
      </w:r>
      <w:r>
        <w:rPr>
          <w:rFonts w:cstheme="minorHAnsi"/>
          <w:lang w:eastAsia="pl-PL"/>
        </w:rPr>
        <w:t>.</w:t>
      </w:r>
    </w:p>
    <w:p w:rsidR="005B01AB" w:rsidRPr="003952DB" w:rsidRDefault="005B01AB" w:rsidP="009E0B02">
      <w:pPr>
        <w:pStyle w:val="Akapitzlist"/>
        <w:numPr>
          <w:ilvl w:val="0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3952DB">
        <w:rPr>
          <w:rFonts w:cstheme="minorHAnsi"/>
          <w:lang w:eastAsia="pl-PL"/>
        </w:rPr>
        <w:t>Serwer powinien posiadać funkcjonalność umożliwiającą konfigurację i monitoring kluczowych komponentów (takich jak CPU, RAM, dyski, temperatury, statusy wentylatorów) za pomocą aplikacji mobilnej. Aplikacja powinna być dostępna na urządzenia mobilne działające na systemach Android oraz iOS i umożliwiać dostęp do serwera za pomocą popularnych protokołów bezprzewodowych, takich jak BLE lub Wi-Fi.</w:t>
      </w:r>
    </w:p>
    <w:p w:rsidR="00D27129" w:rsidRPr="00E60141" w:rsidRDefault="00D27129" w:rsidP="009E0B02">
      <w:pPr>
        <w:pStyle w:val="Akapitzlist"/>
        <w:numPr>
          <w:ilvl w:val="0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E60141">
        <w:rPr>
          <w:rFonts w:cstheme="minorHAnsi"/>
          <w:lang w:eastAsia="pl-PL"/>
        </w:rPr>
        <w:t xml:space="preserve">Wykonawca jest zobowiązany do dostawy wraz z serwerem systemu operacyjnego umożliwiającego zarządzenie serwerem klasy Microsoft Windows Serwer Standard 2025 wraz z </w:t>
      </w:r>
      <w:r w:rsidR="003952DB">
        <w:rPr>
          <w:rFonts w:cstheme="minorHAnsi"/>
          <w:lang w:eastAsia="pl-PL"/>
        </w:rPr>
        <w:t>20</w:t>
      </w:r>
      <w:r w:rsidRPr="00E60141">
        <w:rPr>
          <w:rFonts w:cstheme="minorHAnsi"/>
          <w:lang w:eastAsia="pl-PL"/>
        </w:rPr>
        <w:t xml:space="preserve"> licencjami dostępowymi umożliwiającymi korzystanie przez </w:t>
      </w:r>
      <w:r w:rsidR="003952DB">
        <w:rPr>
          <w:rFonts w:cstheme="minorHAnsi"/>
          <w:lang w:eastAsia="pl-PL"/>
        </w:rPr>
        <w:t>20</w:t>
      </w:r>
      <w:r w:rsidRPr="00E60141">
        <w:rPr>
          <w:rFonts w:cstheme="minorHAnsi"/>
          <w:lang w:eastAsia="pl-PL"/>
        </w:rPr>
        <w:t xml:space="preserve"> </w:t>
      </w:r>
      <w:r>
        <w:rPr>
          <w:rFonts w:cstheme="minorHAnsi"/>
          <w:lang w:eastAsia="pl-PL"/>
        </w:rPr>
        <w:t xml:space="preserve">użytkowników z zasobów </w:t>
      </w:r>
      <w:r w:rsidR="006B292A">
        <w:rPr>
          <w:rFonts w:cstheme="minorHAnsi"/>
          <w:lang w:eastAsia="pl-PL"/>
        </w:rPr>
        <w:t>serwera</w:t>
      </w:r>
      <w:r>
        <w:rPr>
          <w:rFonts w:cstheme="minorHAnsi"/>
          <w:lang w:eastAsia="pl-PL"/>
        </w:rPr>
        <w:t xml:space="preserve"> </w:t>
      </w:r>
      <w:r w:rsidRPr="00E60141">
        <w:rPr>
          <w:rFonts w:cstheme="minorHAnsi"/>
          <w:lang w:eastAsia="pl-PL"/>
        </w:rPr>
        <w:t>lub równoważnego systemu zgodnie z poniżej określonymi warunkami równoważności.</w:t>
      </w:r>
    </w:p>
    <w:p w:rsidR="00D27129" w:rsidRPr="00B03B39" w:rsidRDefault="00D27129" w:rsidP="00D27129">
      <w:pPr>
        <w:pStyle w:val="Akapitzlist"/>
        <w:spacing w:before="100" w:beforeAutospacing="1" w:after="120" w:line="276" w:lineRule="auto"/>
        <w:ind w:left="360"/>
        <w:jc w:val="both"/>
        <w:rPr>
          <w:rFonts w:cstheme="minorHAnsi"/>
          <w:lang w:eastAsia="pl-PL"/>
        </w:rPr>
      </w:pPr>
      <w:r w:rsidRPr="00B03B39">
        <w:rPr>
          <w:rFonts w:cstheme="minorHAnsi"/>
        </w:rPr>
        <w:t xml:space="preserve">Warunki równoważności dla dostawy oprogramowania Microsoft Windows Serwer </w:t>
      </w:r>
      <w:r>
        <w:rPr>
          <w:rFonts w:cstheme="minorHAnsi"/>
        </w:rPr>
        <w:t xml:space="preserve">Standard </w:t>
      </w:r>
      <w:r w:rsidRPr="00B03B39">
        <w:rPr>
          <w:rFonts w:cstheme="minorHAnsi"/>
        </w:rPr>
        <w:t>202</w:t>
      </w:r>
      <w:r>
        <w:rPr>
          <w:rFonts w:cstheme="minorHAnsi"/>
        </w:rPr>
        <w:t>5</w:t>
      </w:r>
      <w:r w:rsidRPr="00B03B39">
        <w:rPr>
          <w:rFonts w:cstheme="minorHAnsi"/>
        </w:rPr>
        <w:t xml:space="preserve"> wraz z </w:t>
      </w:r>
      <w:r w:rsidR="003952DB">
        <w:rPr>
          <w:rFonts w:cstheme="minorHAnsi"/>
        </w:rPr>
        <w:t>20</w:t>
      </w:r>
      <w:r w:rsidRPr="00B03B39">
        <w:rPr>
          <w:rFonts w:cstheme="minorHAnsi"/>
        </w:rPr>
        <w:t xml:space="preserve"> licencjami dostępowymi Microsoft Windows Server 202</w:t>
      </w:r>
      <w:r>
        <w:rPr>
          <w:rFonts w:cstheme="minorHAnsi"/>
        </w:rPr>
        <w:t>5</w:t>
      </w:r>
      <w:r w:rsidRPr="00B03B39">
        <w:rPr>
          <w:rFonts w:cstheme="minorHAnsi"/>
        </w:rPr>
        <w:t xml:space="preserve"> CAL </w:t>
      </w:r>
      <w:r>
        <w:rPr>
          <w:rFonts w:cstheme="minorHAnsi"/>
        </w:rPr>
        <w:t>User</w:t>
      </w:r>
      <w:r w:rsidRPr="00B03B39">
        <w:rPr>
          <w:rFonts w:cstheme="minorHAnsi"/>
        </w:rPr>
        <w:t>:</w:t>
      </w:r>
    </w:p>
    <w:p w:rsidR="00D27129" w:rsidRPr="00244F2F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244F2F">
        <w:rPr>
          <w:rFonts w:cstheme="minorHAnsi"/>
          <w:lang w:eastAsia="pl-PL"/>
        </w:rPr>
        <w:t>Licencja musi uprawniać do uruchamiania serwerowego systemu operacyjnego w środowisku fizycznym i </w:t>
      </w:r>
      <w:r>
        <w:rPr>
          <w:rFonts w:cstheme="minorHAnsi"/>
          <w:lang w:eastAsia="pl-PL"/>
        </w:rPr>
        <w:t>dwóch</w:t>
      </w:r>
      <w:r w:rsidRPr="00244F2F">
        <w:rPr>
          <w:rFonts w:cstheme="minorHAnsi"/>
          <w:lang w:eastAsia="pl-PL"/>
        </w:rPr>
        <w:t xml:space="preserve"> wirtualnych środowisk</w:t>
      </w:r>
      <w:r>
        <w:rPr>
          <w:rFonts w:cstheme="minorHAnsi"/>
          <w:lang w:eastAsia="pl-PL"/>
        </w:rPr>
        <w:t>ach</w:t>
      </w:r>
      <w:r w:rsidRPr="00244F2F">
        <w:rPr>
          <w:rFonts w:cstheme="minorHAnsi"/>
          <w:lang w:eastAsia="pl-PL"/>
        </w:rPr>
        <w:t xml:space="preserve"> serwerowego systemu operacyjnego za pomocą wbudowanych mechanizmów wirtualizacji oraz dostępu do serwerowego systemu operacyjnego dla minimum </w:t>
      </w:r>
      <w:r w:rsidR="003952DB">
        <w:rPr>
          <w:rFonts w:cstheme="minorHAnsi"/>
          <w:lang w:eastAsia="pl-PL"/>
        </w:rPr>
        <w:t>20</w:t>
      </w:r>
      <w:r>
        <w:rPr>
          <w:rFonts w:cstheme="minorHAnsi"/>
          <w:lang w:eastAsia="pl-PL"/>
        </w:rPr>
        <w:t xml:space="preserve"> użytkowników.</w:t>
      </w:r>
    </w:p>
    <w:p w:rsidR="00D27129" w:rsidRPr="00244F2F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244F2F">
        <w:rPr>
          <w:rFonts w:cstheme="minorHAnsi"/>
          <w:lang w:eastAsia="pl-PL"/>
        </w:rPr>
        <w:t>Możliwość wykorzystywania 240 procesorów wirtualnych oraz 1TB pamięci RAM i dysku o</w:t>
      </w:r>
      <w:r>
        <w:rPr>
          <w:rFonts w:cstheme="minorHAnsi"/>
          <w:lang w:eastAsia="pl-PL"/>
        </w:rPr>
        <w:t> </w:t>
      </w:r>
      <w:r w:rsidRPr="00244F2F">
        <w:rPr>
          <w:rFonts w:cstheme="minorHAnsi"/>
          <w:lang w:eastAsia="pl-PL"/>
        </w:rPr>
        <w:t>pojemności min. 64TB przez każdy wirtualny serwerowy system operacyjny.</w:t>
      </w:r>
    </w:p>
    <w:p w:rsidR="00D27129" w:rsidRPr="00244F2F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244F2F">
        <w:rPr>
          <w:rFonts w:cstheme="minorHAnsi"/>
          <w:lang w:eastAsia="pl-PL"/>
        </w:rPr>
        <w:t>Możliwość migracji maszyn wirtualnych bez zatrzymywania ich pracy między fizycznymi serwerami z uruchomionym mechanizmem wirtualizacji (</w:t>
      </w:r>
      <w:proofErr w:type="spellStart"/>
      <w:r w:rsidRPr="00244F2F">
        <w:rPr>
          <w:rFonts w:cstheme="minorHAnsi"/>
          <w:lang w:eastAsia="pl-PL"/>
        </w:rPr>
        <w:t>hypervisor</w:t>
      </w:r>
      <w:proofErr w:type="spellEnd"/>
      <w:r w:rsidRPr="00244F2F">
        <w:rPr>
          <w:rFonts w:cstheme="minorHAnsi"/>
          <w:lang w:eastAsia="pl-PL"/>
        </w:rPr>
        <w:t>) przez sieć Ethernet, bez konieczności stosowania dodatkowych mechanizmów współdzielenia pamięci.</w:t>
      </w:r>
    </w:p>
    <w:p w:rsidR="00D27129" w:rsidRPr="00244F2F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244F2F">
        <w:rPr>
          <w:rFonts w:cstheme="minorHAnsi"/>
          <w:lang w:eastAsia="pl-PL"/>
        </w:rPr>
        <w:t>Wsparcie (na umożliwiającym to sprzęcie) dodawania i wymiany pamięci RAM bez przerywania pracy.</w:t>
      </w:r>
    </w:p>
    <w:p w:rsidR="00D27129" w:rsidRPr="00244F2F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244F2F">
        <w:rPr>
          <w:rFonts w:cstheme="minorHAnsi"/>
          <w:lang w:eastAsia="pl-PL"/>
        </w:rPr>
        <w:t>Wsparcie (na umożliwiającym to sprzęcie) dodawania i wymiany procesorów bez przerywania pracy.</w:t>
      </w:r>
    </w:p>
    <w:p w:rsidR="00D27129" w:rsidRPr="00244F2F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244F2F">
        <w:rPr>
          <w:rFonts w:cstheme="minorHAnsi"/>
          <w:lang w:eastAsia="pl-PL"/>
        </w:rPr>
        <w:t>Automatyczna weryfikacja cyfrowych sygnatur sterowników w celu sprawdzenia czy sterownik przeszedł testy jakości przeprowadzone przez producenta systemu operacyjnego.</w:t>
      </w:r>
    </w:p>
    <w:p w:rsidR="00D27129" w:rsidRPr="00244F2F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244F2F">
        <w:rPr>
          <w:rFonts w:cstheme="minorHAnsi"/>
          <w:lang w:eastAsia="pl-PL"/>
        </w:rPr>
        <w:t>Możliwość dynamicznego obniżania poboru energii przez rdzenie procesorów niewykorzystywane w bieżącej pracy.</w:t>
      </w:r>
    </w:p>
    <w:p w:rsidR="00D27129" w:rsidRPr="00244F2F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244F2F">
        <w:rPr>
          <w:rFonts w:cstheme="minorHAnsi"/>
          <w:lang w:eastAsia="pl-PL"/>
        </w:rPr>
        <w:t xml:space="preserve">Mechanizm ten musi uwzględniać specyfikę procesorów wyposażonych w mechanizmy </w:t>
      </w:r>
      <w:proofErr w:type="spellStart"/>
      <w:r w:rsidRPr="00244F2F">
        <w:rPr>
          <w:rFonts w:cstheme="minorHAnsi"/>
          <w:lang w:eastAsia="pl-PL"/>
        </w:rPr>
        <w:t>Hyper-Threading</w:t>
      </w:r>
      <w:proofErr w:type="spellEnd"/>
      <w:r w:rsidRPr="00244F2F">
        <w:rPr>
          <w:rFonts w:cstheme="minorHAnsi"/>
          <w:lang w:eastAsia="pl-PL"/>
        </w:rPr>
        <w:t>;</w:t>
      </w:r>
    </w:p>
    <w:p w:rsidR="00D27129" w:rsidRPr="00244F2F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244F2F">
        <w:rPr>
          <w:rFonts w:cstheme="minorHAnsi"/>
          <w:lang w:eastAsia="pl-PL"/>
        </w:rPr>
        <w:t>Wbudowany mechanizm klasyfikowania i indeksowania plików (dokumentów) w oparciu o ich zawartość.</w:t>
      </w:r>
    </w:p>
    <w:p w:rsidR="00D27129" w:rsidRPr="00244F2F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244F2F">
        <w:rPr>
          <w:rFonts w:cstheme="minorHAnsi"/>
          <w:lang w:eastAsia="pl-PL"/>
        </w:rPr>
        <w:t>Wbudowane szyfrowanie dysków przy pomocy mechanizmów posiadających certyfikat FIPS 140-2 lub równoważny wydany przez NIST lub inną agendę rządową zajmującą się bezpieczeństwem informacji.</w:t>
      </w:r>
    </w:p>
    <w:p w:rsidR="00D27129" w:rsidRPr="00244F2F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244F2F">
        <w:rPr>
          <w:rFonts w:cstheme="minorHAnsi"/>
          <w:lang w:eastAsia="pl-PL"/>
        </w:rPr>
        <w:t>Możliwość uruchamianie aplikacji internetowych wykorzystujących technologię ASP.NET.</w:t>
      </w:r>
    </w:p>
    <w:p w:rsidR="00D27129" w:rsidRPr="00244F2F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244F2F">
        <w:rPr>
          <w:rFonts w:cstheme="minorHAnsi"/>
          <w:lang w:eastAsia="pl-PL"/>
        </w:rPr>
        <w:t>Możliwość dystrybucji ruchu sieciowego HTTP pomiędzy kilka serwerów.</w:t>
      </w:r>
    </w:p>
    <w:p w:rsidR="00D27129" w:rsidRPr="00244F2F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244F2F">
        <w:rPr>
          <w:rFonts w:cstheme="minorHAnsi"/>
          <w:lang w:eastAsia="pl-PL"/>
        </w:rPr>
        <w:lastRenderedPageBreak/>
        <w:t>Wbudowana zapora internetowa (firewall) z obsługą definiowanych reguł dla ochrony połączeń internetowych i intranetowych.</w:t>
      </w:r>
    </w:p>
    <w:p w:rsidR="00D27129" w:rsidRPr="00244F2F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244F2F">
        <w:rPr>
          <w:rFonts w:cstheme="minorHAnsi"/>
          <w:lang w:eastAsia="pl-PL"/>
        </w:rPr>
        <w:t>Zlokalizowane w języku polskim, co najmniej następujące elementy: menu, przeglądarka internetowa, pomoc, komunikaty systemowe.</w:t>
      </w:r>
    </w:p>
    <w:p w:rsidR="00D27129" w:rsidRPr="00244F2F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244F2F">
        <w:rPr>
          <w:rFonts w:cstheme="minorHAnsi"/>
          <w:lang w:eastAsia="pl-PL"/>
        </w:rPr>
        <w:t>Możliwość zmiany języka interfejsu po zainstalowaniu systemu, dla co najmniej 2 języków poprzez wybór z listy dostępnych lokalizacji.</w:t>
      </w:r>
    </w:p>
    <w:p w:rsidR="00D27129" w:rsidRPr="00244F2F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244F2F">
        <w:rPr>
          <w:rFonts w:cstheme="minorHAnsi"/>
          <w:lang w:eastAsia="pl-PL"/>
        </w:rPr>
        <w:t>Wsparcie dla większości powszechnie używanych urządzeń peryferyjnych (drukarek, urządzeń sieciowych, standardów USB, Plug&amp;Play).</w:t>
      </w:r>
    </w:p>
    <w:p w:rsidR="00D27129" w:rsidRPr="00244F2F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244F2F">
        <w:rPr>
          <w:rFonts w:cstheme="minorHAnsi"/>
          <w:lang w:eastAsia="pl-PL"/>
        </w:rPr>
        <w:t>Możliwość zdalnej konfiguracji, administrowania oraz aktualizowania systemu.</w:t>
      </w:r>
    </w:p>
    <w:p w:rsidR="00D27129" w:rsidRPr="00244F2F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244F2F">
        <w:rPr>
          <w:rFonts w:cstheme="minorHAnsi"/>
          <w:lang w:eastAsia="pl-PL"/>
        </w:rPr>
        <w:t>Wsparcie dostępu do zasobu dyskowego SSO poprzez wiele ścieżek (</w:t>
      </w:r>
      <w:proofErr w:type="spellStart"/>
      <w:r w:rsidRPr="00244F2F">
        <w:rPr>
          <w:rFonts w:cstheme="minorHAnsi"/>
          <w:lang w:eastAsia="pl-PL"/>
        </w:rPr>
        <w:t>Multipath</w:t>
      </w:r>
      <w:proofErr w:type="spellEnd"/>
      <w:r w:rsidRPr="00244F2F">
        <w:rPr>
          <w:rFonts w:cstheme="minorHAnsi"/>
          <w:lang w:eastAsia="pl-PL"/>
        </w:rPr>
        <w:t>).</w:t>
      </w:r>
    </w:p>
    <w:p w:rsidR="00D27129" w:rsidRPr="00244F2F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244F2F">
        <w:rPr>
          <w:rFonts w:cstheme="minorHAnsi"/>
          <w:lang w:eastAsia="pl-PL"/>
        </w:rPr>
        <w:t>Możliwość instalacji poprawek poprzez wgranie ich do obrazu instalacyjnego.</w:t>
      </w:r>
    </w:p>
    <w:p w:rsidR="00D27129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244F2F">
        <w:rPr>
          <w:rFonts w:cstheme="minorHAnsi"/>
          <w:lang w:eastAsia="pl-PL"/>
        </w:rPr>
        <w:t>Mechanizmy zdalnej administracji oraz mechanizmy (również działające zdalnie) administracji przez skrypty.</w:t>
      </w:r>
    </w:p>
    <w:p w:rsidR="00D27129" w:rsidRDefault="00D27129" w:rsidP="009E0B02">
      <w:pPr>
        <w:pStyle w:val="Akapitzlist"/>
        <w:numPr>
          <w:ilvl w:val="0"/>
          <w:numId w:val="36"/>
        </w:numPr>
        <w:spacing w:before="240" w:after="120" w:line="276" w:lineRule="auto"/>
        <w:ind w:right="72"/>
        <w:jc w:val="both"/>
        <w:rPr>
          <w:color w:val="000000" w:themeColor="text1"/>
        </w:rPr>
      </w:pPr>
      <w:r>
        <w:rPr>
          <w:color w:val="000000" w:themeColor="text1"/>
        </w:rPr>
        <w:t xml:space="preserve">Oferowany serwer musi znajdować się na liście Windows Server </w:t>
      </w:r>
      <w:proofErr w:type="spellStart"/>
      <w:r>
        <w:rPr>
          <w:color w:val="000000" w:themeColor="text1"/>
        </w:rPr>
        <w:t>Catalog</w:t>
      </w:r>
      <w:proofErr w:type="spellEnd"/>
      <w:r>
        <w:rPr>
          <w:color w:val="000000" w:themeColor="text1"/>
        </w:rPr>
        <w:t xml:space="preserve"> i posiadać status „</w:t>
      </w:r>
      <w:proofErr w:type="spellStart"/>
      <w:r>
        <w:rPr>
          <w:color w:val="000000" w:themeColor="text1"/>
        </w:rPr>
        <w:t>Certified</w:t>
      </w:r>
      <w:proofErr w:type="spellEnd"/>
      <w:r>
        <w:rPr>
          <w:color w:val="000000" w:themeColor="text1"/>
        </w:rPr>
        <w:t xml:space="preserve"> for Windows” dla systemów Microsoft Windows Server 2022, Microsoft Windows Server 2025.</w:t>
      </w:r>
    </w:p>
    <w:p w:rsidR="00D27129" w:rsidRPr="000D226D" w:rsidRDefault="00D27129" w:rsidP="009E0B02">
      <w:pPr>
        <w:pStyle w:val="Akapitzlist"/>
        <w:numPr>
          <w:ilvl w:val="0"/>
          <w:numId w:val="36"/>
        </w:numPr>
        <w:spacing w:before="240" w:after="120" w:line="276" w:lineRule="auto"/>
        <w:ind w:right="72"/>
        <w:jc w:val="both"/>
        <w:rPr>
          <w:color w:val="000000" w:themeColor="text1"/>
        </w:rPr>
      </w:pPr>
      <w:r w:rsidRPr="000636DA">
        <w:rPr>
          <w:color w:val="000000" w:themeColor="text1"/>
        </w:rPr>
        <w:t>Jakość produktu i sposobu jego wykonania: Certyfikat ISO 9001 lub inny równoważny dokument poświadczający, że producent serwera opracował, wdrożył i certyfikował system zarządzania jakością; Certyfikat ISO 50001</w:t>
      </w:r>
      <w:r>
        <w:rPr>
          <w:color w:val="000000" w:themeColor="text1"/>
        </w:rPr>
        <w:t xml:space="preserve"> lub ISO 14001</w:t>
      </w:r>
      <w:r w:rsidRPr="000636DA">
        <w:rPr>
          <w:color w:val="000000" w:themeColor="text1"/>
        </w:rPr>
        <w:t xml:space="preserve"> lub inny równoważny dokument poświadczający, że producent serwera posiada system zarządzania energią, zmniejszający zużycie energii, wpływy na środowisko i zwiększający rentowność; Deklaracja zgodności CE lub inny równoważny dokument poświadczający, ze oferowany serwer spełnia wszystkie zasadnicze wymagania zawarte w poszczególnych dyrektywach nowego podejścia przewidujących oznakowanie CE; Potwierdzenie spełnienia kryteriów środowiskowych, w tym zgodności z dyrektywą RoHS Unii Europejskiej o eliminacji substancji niebezpiecznych w postaci oświadczenia producenta serwera lub innego dokumentu potwierdzającego spełnienie kryteriów </w:t>
      </w:r>
      <w:r w:rsidRPr="000D226D">
        <w:rPr>
          <w:color w:val="000000" w:themeColor="text1"/>
        </w:rPr>
        <w:t>środowiskowych w tym zgodności z dyrektywą RoHS Unii Europejskiej o eliminacji substancji niebezpiecznych</w:t>
      </w:r>
      <w:r w:rsidR="005D498F" w:rsidRPr="000D226D">
        <w:rPr>
          <w:color w:val="000000" w:themeColor="text1"/>
        </w:rPr>
        <w:t xml:space="preserve">. </w:t>
      </w:r>
      <w:r w:rsidRPr="000D226D">
        <w:t>Zamawiający żąda załączenia do oferty przedmiotowych środków dowodowych - dokumentów potwierdzających spełnienie przez oferowany serwer i jego/ich producenta/producentów wymagań w zakresie określonym powyżej.</w:t>
      </w:r>
    </w:p>
    <w:p w:rsidR="005D498F" w:rsidRPr="00324EF9" w:rsidRDefault="005D498F" w:rsidP="009E0B02">
      <w:pPr>
        <w:pStyle w:val="Akapitzlist"/>
        <w:numPr>
          <w:ilvl w:val="0"/>
          <w:numId w:val="36"/>
        </w:numPr>
        <w:spacing w:before="240" w:after="120" w:line="276" w:lineRule="auto"/>
        <w:ind w:right="72"/>
        <w:jc w:val="both"/>
        <w:rPr>
          <w:color w:val="000000" w:themeColor="text1"/>
        </w:rPr>
      </w:pPr>
      <w:r w:rsidRPr="003952DB">
        <w:rPr>
          <w:rFonts w:cstheme="minorHAnsi"/>
          <w:lang w:eastAsia="pl-PL"/>
        </w:rPr>
        <w:t xml:space="preserve">Gwarancja: min. 60 miesięcy gwarancji producenta obejmująca wszystkie komponenty serwera wchodzące w skład oferowanej konfiguracji realizowanej w miejscu instalacji sprzętu z czasem reakcji serwisu do następnego dnia roboczego od przyjęcia zgłoszenia, w przypadku awarii dysków Zamawiający wymaga, aby dyski pozostały u Zamawiającego. Możliwość zgłaszania awarii w języku polskim poprzez ogólnopolską linię telefoniczną producenta oraz dedykowany portal techniczny producenta, dla obu kanałów w trybie ciągłym, tj. niezależnie od pory dnia, dni roboczych i dni wolnych od pracy. Zamawiający wymaga pojedynczego serwisowego punktu kontaktu dla całego rozwiązania Producenta (w tym także zaoferowanego oprogramowania) umożliwiającego komunikację w języku polskim. Zamawiający oczekuje nieodpłatnego udostępnienia narzędzi serwisowych i procesów wsparcia umożliwiających: Wykrywanie usterek sprzętowych z predykcją awarii, automatyczną diagnostykę i zdalne otwieranie zgłoszeń serwisowych, wskazówki dotyczące bezpieczeństwa produktów, samodzielne wysyłanie części, a także ocenę bezpieczeństwa cybernetycznego. Wszelkie naprawy mogą być realizowane przez osoby certyfikowane przez producenta, które po diagnostyce muszą z właściwym zestawem części do naprawy (potwierdzonym na etapie diagnostyki) rozpocząć naprawę w siedzibie Zamawiającego najpóźniej w następnym dniu roboczym (NBD) od zakończenia diagnostyki. W </w:t>
      </w:r>
      <w:r w:rsidRPr="003952DB">
        <w:rPr>
          <w:rFonts w:cstheme="minorHAnsi"/>
          <w:lang w:eastAsia="pl-PL"/>
        </w:rPr>
        <w:lastRenderedPageBreak/>
        <w:t xml:space="preserve">przypadku jeżeli serwis gwarancyjny urządzeń nie będzie realizowany bezpośrednio przez producenta urządzenia, wówczas firma serwisująca musi posiadać certyfikat ISO 9001 oraz ISO 27001 </w:t>
      </w:r>
      <w:r w:rsidRPr="003952DB">
        <w:rPr>
          <w:color w:val="000000" w:themeColor="text1"/>
        </w:rPr>
        <w:t>lub inny równoważny dokument poświadczający</w:t>
      </w:r>
      <w:r w:rsidRPr="003952DB">
        <w:rPr>
          <w:rFonts w:cstheme="minorHAnsi"/>
          <w:lang w:eastAsia="pl-PL"/>
        </w:rPr>
        <w:t>, że usługi serwisu świadczone będą zgodnie z zasadami wynikającymi z tych norm oraz firma serwisująca musi posiadać autoryzacje producenta urządzeń, w takim przypadku Wykonawca jest zobowiązany dostarczyć wraz z ofertą dokumenty potwierdzające spełnienie przez firmę serwisującą przedmiotowego wymogu. Możliwość przedłużenia gwarancji producenta do 72 miesięcy.</w:t>
      </w:r>
    </w:p>
    <w:p w:rsidR="00324EF9" w:rsidRDefault="00324EF9" w:rsidP="00324EF9">
      <w:pPr>
        <w:pStyle w:val="Nagwek1"/>
        <w:numPr>
          <w:ilvl w:val="1"/>
          <w:numId w:val="1"/>
        </w:numPr>
        <w:spacing w:after="240" w:line="276" w:lineRule="auto"/>
      </w:pPr>
      <w:bookmarkStart w:id="8" w:name="_Toc210373439"/>
      <w:r w:rsidRPr="00324EF9">
        <w:t>Zakup macierzy (1 szt.).</w:t>
      </w:r>
      <w:bookmarkEnd w:id="8"/>
    </w:p>
    <w:p w:rsidR="008D7D9B" w:rsidRPr="00FB66BD" w:rsidRDefault="008D7D9B" w:rsidP="008D7D9B">
      <w:pPr>
        <w:spacing w:line="276" w:lineRule="auto"/>
      </w:pPr>
      <w:r w:rsidRPr="00FB66BD">
        <w:t>Minimalne parametry techniczne urządzenia:</w:t>
      </w:r>
    </w:p>
    <w:p w:rsidR="008D7D9B" w:rsidRPr="00FB66BD" w:rsidRDefault="008D7D9B" w:rsidP="009E0B02">
      <w:pPr>
        <w:pStyle w:val="Akapitzlist"/>
        <w:numPr>
          <w:ilvl w:val="0"/>
          <w:numId w:val="25"/>
        </w:numPr>
        <w:spacing w:line="276" w:lineRule="auto"/>
        <w:jc w:val="both"/>
        <w:rPr>
          <w:rFonts w:cstheme="minorHAnsi"/>
          <w:lang w:eastAsia="pl-PL"/>
        </w:rPr>
      </w:pPr>
      <w:r w:rsidRPr="00FB66BD">
        <w:rPr>
          <w:rFonts w:cstheme="minorHAnsi"/>
          <w:lang w:eastAsia="pl-PL"/>
        </w:rPr>
        <w:t xml:space="preserve">Obudowa typu RACK o wysokości maksymalnie </w:t>
      </w:r>
      <w:r>
        <w:rPr>
          <w:rFonts w:cstheme="minorHAnsi"/>
          <w:lang w:eastAsia="pl-PL"/>
        </w:rPr>
        <w:t>3</w:t>
      </w:r>
      <w:r w:rsidRPr="00FB66BD">
        <w:rPr>
          <w:rFonts w:cstheme="minorHAnsi"/>
          <w:lang w:eastAsia="pl-PL"/>
        </w:rPr>
        <w:t xml:space="preserve">U z możliwością instalacji do </w:t>
      </w:r>
      <w:r>
        <w:rPr>
          <w:rFonts w:cstheme="minorHAnsi"/>
          <w:lang w:eastAsia="pl-PL"/>
        </w:rPr>
        <w:t>24</w:t>
      </w:r>
      <w:r w:rsidRPr="00FB66BD">
        <w:rPr>
          <w:rFonts w:cstheme="minorHAnsi"/>
          <w:lang w:eastAsia="pl-PL"/>
        </w:rPr>
        <w:t xml:space="preserve"> dysków </w:t>
      </w:r>
      <w:r>
        <w:rPr>
          <w:rFonts w:cstheme="minorHAnsi"/>
          <w:lang w:eastAsia="pl-PL"/>
        </w:rPr>
        <w:t>2</w:t>
      </w:r>
      <w:r w:rsidRPr="00FB66BD">
        <w:rPr>
          <w:rFonts w:cstheme="minorHAnsi"/>
          <w:lang w:eastAsia="pl-PL"/>
        </w:rPr>
        <w:t>.5" Hot-Plug z blokadą służącą do ochrony nieautoryzowanego dostępu do dysków twardych.</w:t>
      </w:r>
    </w:p>
    <w:p w:rsidR="008D7D9B" w:rsidRPr="00FB66BD" w:rsidRDefault="008D7D9B" w:rsidP="009E0B02">
      <w:pPr>
        <w:pStyle w:val="Akapitzlist"/>
        <w:numPr>
          <w:ilvl w:val="0"/>
          <w:numId w:val="25"/>
        </w:numPr>
        <w:spacing w:line="276" w:lineRule="auto"/>
        <w:jc w:val="both"/>
        <w:rPr>
          <w:rFonts w:cstheme="minorHAnsi"/>
          <w:lang w:eastAsia="pl-PL"/>
        </w:rPr>
      </w:pPr>
      <w:r w:rsidRPr="00FB66BD">
        <w:rPr>
          <w:rFonts w:cstheme="minorHAnsi"/>
          <w:lang w:eastAsia="pl-PL"/>
        </w:rPr>
        <w:t xml:space="preserve">Macierz musi posiadać co najmniej 2 kontrolery macierzowe pracujące w trybie </w:t>
      </w:r>
      <w:proofErr w:type="spellStart"/>
      <w:r w:rsidRPr="00FB66BD">
        <w:rPr>
          <w:rFonts w:cstheme="minorHAnsi"/>
          <w:lang w:eastAsia="pl-PL"/>
        </w:rPr>
        <w:t>active-active</w:t>
      </w:r>
      <w:proofErr w:type="spellEnd"/>
      <w:r w:rsidRPr="00FB66BD">
        <w:rPr>
          <w:rFonts w:cstheme="minorHAnsi"/>
          <w:lang w:eastAsia="pl-PL"/>
        </w:rPr>
        <w:t xml:space="preserve"> i udostępniające jednocześnie dane blokowe. Wszystkie kontrolery muszą komunikować się między sobą bez stosowania dodatkowych przełączników lub koncentratorów.</w:t>
      </w:r>
    </w:p>
    <w:p w:rsidR="008D7D9B" w:rsidRPr="00FB66BD" w:rsidRDefault="008D7D9B" w:rsidP="009E0B02">
      <w:pPr>
        <w:pStyle w:val="Akapitzlist"/>
        <w:numPr>
          <w:ilvl w:val="0"/>
          <w:numId w:val="25"/>
        </w:numPr>
        <w:spacing w:line="276" w:lineRule="auto"/>
        <w:jc w:val="both"/>
        <w:rPr>
          <w:rFonts w:cstheme="minorHAnsi"/>
          <w:lang w:eastAsia="pl-PL"/>
        </w:rPr>
      </w:pPr>
      <w:r w:rsidRPr="00FB66BD">
        <w:rPr>
          <w:rFonts w:cstheme="minorHAnsi"/>
          <w:lang w:eastAsia="pl-PL"/>
        </w:rPr>
        <w:t xml:space="preserve">Macierz musi posiadać minimum sumarycznie 32 GB pamięci cache. Pamięć zapisu musi być mirrorowana (kopie lustrzane) pomiędzy kontrolerami dyskowymi. </w:t>
      </w:r>
    </w:p>
    <w:p w:rsidR="008D7D9B" w:rsidRPr="00FB66BD" w:rsidRDefault="008D7D9B" w:rsidP="009E0B02">
      <w:pPr>
        <w:pStyle w:val="Akapitzlist"/>
        <w:numPr>
          <w:ilvl w:val="0"/>
          <w:numId w:val="25"/>
        </w:numPr>
        <w:spacing w:line="276" w:lineRule="auto"/>
        <w:jc w:val="both"/>
        <w:rPr>
          <w:rFonts w:cstheme="minorHAnsi"/>
          <w:lang w:eastAsia="pl-PL"/>
        </w:rPr>
      </w:pPr>
      <w:r w:rsidRPr="00FB66BD">
        <w:rPr>
          <w:rFonts w:cstheme="minorHAnsi"/>
          <w:lang w:eastAsia="pl-PL"/>
        </w:rPr>
        <w:t xml:space="preserve">Macierz musi mieć możliwość obsługiwania dysków SSD, SAS i </w:t>
      </w:r>
      <w:proofErr w:type="spellStart"/>
      <w:r w:rsidRPr="00FB66BD">
        <w:rPr>
          <w:rFonts w:cstheme="minorHAnsi"/>
          <w:lang w:eastAsia="pl-PL"/>
        </w:rPr>
        <w:t>Nearline</w:t>
      </w:r>
      <w:proofErr w:type="spellEnd"/>
      <w:r w:rsidRPr="00FB66BD">
        <w:rPr>
          <w:rFonts w:cstheme="minorHAnsi"/>
          <w:lang w:eastAsia="pl-PL"/>
        </w:rPr>
        <w:t xml:space="preserve"> SAS. Macierz musi umożliwiać mieszanie napędów dyskowych SSD, SAS i NL SAS w obrębie pojedynczej półki dyskowej. Macierz musi obsługiwać dyski 2,5” i 3,5”. Macierz musi umożliwiać rozbudowę (bez wymiany kontrolerów macierzy), do co najmniej 100 dysków twardych.</w:t>
      </w:r>
    </w:p>
    <w:p w:rsidR="008D7D9B" w:rsidRPr="008D7D9B" w:rsidRDefault="008D7D9B" w:rsidP="009E0B02">
      <w:pPr>
        <w:pStyle w:val="Akapitzlist"/>
        <w:numPr>
          <w:ilvl w:val="0"/>
          <w:numId w:val="25"/>
        </w:numPr>
        <w:spacing w:line="276" w:lineRule="auto"/>
        <w:jc w:val="both"/>
        <w:rPr>
          <w:rFonts w:cstheme="minorHAnsi"/>
          <w:lang w:eastAsia="pl-PL"/>
        </w:rPr>
      </w:pPr>
      <w:r w:rsidRPr="008D7D9B">
        <w:rPr>
          <w:rFonts w:cstheme="minorHAnsi"/>
          <w:lang w:eastAsia="pl-PL"/>
        </w:rPr>
        <w:t>Macierz musi posiadać co najmniej 8 portów iSCSI SFP+/SFP28 25Gb/s (4 porty na kontroler). Należy również dostarczyć min. 8 sztuk przewodów iSCSI SFP+/SFP28 25Gb/s kompatybilnych z urządzeniem dedykowane przez producenta rozwiązania o długości minimum 2 m.</w:t>
      </w:r>
    </w:p>
    <w:p w:rsidR="008D7D9B" w:rsidRPr="0027315D" w:rsidRDefault="008D7D9B" w:rsidP="009E0B02">
      <w:pPr>
        <w:pStyle w:val="Akapitzlist"/>
        <w:numPr>
          <w:ilvl w:val="0"/>
          <w:numId w:val="25"/>
        </w:numPr>
        <w:spacing w:line="276" w:lineRule="auto"/>
        <w:jc w:val="both"/>
        <w:rPr>
          <w:rFonts w:cstheme="minorHAnsi"/>
          <w:lang w:eastAsia="pl-PL"/>
        </w:rPr>
      </w:pPr>
      <w:r w:rsidRPr="0027315D">
        <w:rPr>
          <w:rFonts w:cstheme="minorHAnsi"/>
          <w:lang w:eastAsia="pl-PL"/>
        </w:rPr>
        <w:t xml:space="preserve">Zainstalowane </w:t>
      </w:r>
      <w:r w:rsidR="0027315D" w:rsidRPr="0027315D">
        <w:rPr>
          <w:rFonts w:cstheme="minorHAnsi"/>
          <w:lang w:eastAsia="pl-PL"/>
        </w:rPr>
        <w:t xml:space="preserve">min. </w:t>
      </w:r>
      <w:r w:rsidR="00BE012C">
        <w:rPr>
          <w:rFonts w:cstheme="minorHAnsi"/>
          <w:lang w:eastAsia="pl-PL"/>
        </w:rPr>
        <w:t>12</w:t>
      </w:r>
      <w:r w:rsidR="0027315D" w:rsidRPr="0027315D">
        <w:rPr>
          <w:rFonts w:cstheme="minorHAnsi"/>
          <w:lang w:eastAsia="pl-PL"/>
        </w:rPr>
        <w:t xml:space="preserve"> dysków Hot-Plug SAS o prędkości min. </w:t>
      </w:r>
      <w:r w:rsidR="0027315D">
        <w:rPr>
          <w:rFonts w:cstheme="minorHAnsi"/>
          <w:lang w:eastAsia="pl-PL"/>
        </w:rPr>
        <w:t>12</w:t>
      </w:r>
      <w:r w:rsidR="0027315D" w:rsidRPr="0027315D">
        <w:rPr>
          <w:rFonts w:cstheme="minorHAnsi"/>
          <w:lang w:eastAsia="pl-PL"/>
        </w:rPr>
        <w:t xml:space="preserve"> </w:t>
      </w:r>
      <w:proofErr w:type="spellStart"/>
      <w:r w:rsidR="0027315D" w:rsidRPr="0027315D">
        <w:rPr>
          <w:rFonts w:cstheme="minorHAnsi"/>
          <w:lang w:eastAsia="pl-PL"/>
        </w:rPr>
        <w:t>Gb</w:t>
      </w:r>
      <w:proofErr w:type="spellEnd"/>
      <w:r w:rsidR="0027315D" w:rsidRPr="0027315D">
        <w:rPr>
          <w:rFonts w:cstheme="minorHAnsi"/>
          <w:lang w:eastAsia="pl-PL"/>
        </w:rPr>
        <w:t xml:space="preserve">/s o pojemności co najmniej </w:t>
      </w:r>
      <w:r w:rsidR="0027315D">
        <w:rPr>
          <w:rFonts w:cstheme="minorHAnsi"/>
          <w:lang w:eastAsia="pl-PL"/>
        </w:rPr>
        <w:t>2</w:t>
      </w:r>
      <w:r w:rsidR="0027315D" w:rsidRPr="0027315D">
        <w:rPr>
          <w:rFonts w:cstheme="minorHAnsi"/>
          <w:lang w:eastAsia="pl-PL"/>
        </w:rPr>
        <w:t>,</w:t>
      </w:r>
      <w:r w:rsidR="0027315D">
        <w:rPr>
          <w:rFonts w:cstheme="minorHAnsi"/>
          <w:lang w:eastAsia="pl-PL"/>
        </w:rPr>
        <w:t>4</w:t>
      </w:r>
      <w:r w:rsidR="0027315D" w:rsidRPr="0027315D">
        <w:rPr>
          <w:rFonts w:cstheme="minorHAnsi"/>
          <w:lang w:eastAsia="pl-PL"/>
        </w:rPr>
        <w:t xml:space="preserve"> TB każdy skonfigurowane w RAID5</w:t>
      </w:r>
    </w:p>
    <w:p w:rsidR="008D7D9B" w:rsidRPr="00FB66BD" w:rsidRDefault="008D7D9B" w:rsidP="009E0B02">
      <w:pPr>
        <w:pStyle w:val="Akapitzlist"/>
        <w:numPr>
          <w:ilvl w:val="0"/>
          <w:numId w:val="25"/>
        </w:numPr>
        <w:spacing w:line="276" w:lineRule="auto"/>
        <w:jc w:val="both"/>
        <w:rPr>
          <w:rFonts w:cstheme="minorHAnsi"/>
          <w:lang w:eastAsia="pl-PL"/>
        </w:rPr>
      </w:pPr>
      <w:r w:rsidRPr="00FB66BD">
        <w:rPr>
          <w:rFonts w:cstheme="minorHAnsi"/>
          <w:lang w:eastAsia="pl-PL"/>
        </w:rPr>
        <w:t xml:space="preserve">Macierz musi obsługiwać mechanizmy RAID zgodne z RAID1, RAID10, RAID5, RAID6 realizowane sprzętowo za pomocą dedykowanego układu, z możliwością dowolnej ich kombinacji w obrębie oferowanej macierzy i z wykorzystaniem wszystkich dysków (tzw. </w:t>
      </w:r>
      <w:proofErr w:type="spellStart"/>
      <w:r w:rsidRPr="00FB66BD">
        <w:rPr>
          <w:rFonts w:cstheme="minorHAnsi"/>
          <w:lang w:eastAsia="pl-PL"/>
        </w:rPr>
        <w:t>wide-striping</w:t>
      </w:r>
      <w:proofErr w:type="spellEnd"/>
      <w:r w:rsidRPr="00FB66BD">
        <w:rPr>
          <w:rFonts w:cstheme="minorHAnsi"/>
          <w:lang w:eastAsia="pl-PL"/>
        </w:rPr>
        <w:t>).</w:t>
      </w:r>
    </w:p>
    <w:p w:rsidR="008D7D9B" w:rsidRPr="00FB66BD" w:rsidRDefault="008D7D9B" w:rsidP="009E0B02">
      <w:pPr>
        <w:pStyle w:val="Akapitzlist"/>
        <w:numPr>
          <w:ilvl w:val="0"/>
          <w:numId w:val="25"/>
        </w:numPr>
        <w:spacing w:line="276" w:lineRule="auto"/>
        <w:jc w:val="both"/>
        <w:rPr>
          <w:rFonts w:cstheme="minorHAnsi"/>
          <w:lang w:eastAsia="pl-PL"/>
        </w:rPr>
      </w:pPr>
      <w:r w:rsidRPr="00FB66BD">
        <w:rPr>
          <w:rFonts w:cstheme="minorHAnsi"/>
          <w:lang w:eastAsia="pl-PL"/>
        </w:rPr>
        <w:t xml:space="preserve">Macierz musi umożliwiać definiowanie globalnych dysków </w:t>
      </w:r>
      <w:proofErr w:type="spellStart"/>
      <w:r w:rsidRPr="00FB66BD">
        <w:rPr>
          <w:rFonts w:cstheme="minorHAnsi"/>
          <w:lang w:eastAsia="pl-PL"/>
        </w:rPr>
        <w:t>Hot-spare</w:t>
      </w:r>
      <w:proofErr w:type="spellEnd"/>
      <w:r w:rsidRPr="00FB66BD">
        <w:rPr>
          <w:rFonts w:cstheme="minorHAnsi"/>
          <w:lang w:eastAsia="pl-PL"/>
        </w:rPr>
        <w:t xml:space="preserve"> oraz dedykowanie dysków </w:t>
      </w:r>
      <w:proofErr w:type="spellStart"/>
      <w:r w:rsidRPr="00FB66BD">
        <w:rPr>
          <w:rFonts w:cstheme="minorHAnsi"/>
          <w:lang w:eastAsia="pl-PL"/>
        </w:rPr>
        <w:t>Hot-spare</w:t>
      </w:r>
      <w:proofErr w:type="spellEnd"/>
      <w:r w:rsidRPr="00FB66BD">
        <w:rPr>
          <w:rFonts w:cstheme="minorHAnsi"/>
          <w:lang w:eastAsia="pl-PL"/>
        </w:rPr>
        <w:t xml:space="preserve"> do konkretnych grup RAID. </w:t>
      </w:r>
    </w:p>
    <w:p w:rsidR="008D7D9B" w:rsidRPr="00FB66BD" w:rsidRDefault="008D7D9B" w:rsidP="009E0B02">
      <w:pPr>
        <w:pStyle w:val="Akapitzlist"/>
        <w:numPr>
          <w:ilvl w:val="0"/>
          <w:numId w:val="25"/>
        </w:numPr>
        <w:spacing w:line="276" w:lineRule="auto"/>
        <w:jc w:val="both"/>
        <w:rPr>
          <w:rFonts w:cstheme="minorHAnsi"/>
          <w:lang w:eastAsia="pl-PL"/>
        </w:rPr>
      </w:pPr>
      <w:r w:rsidRPr="00FB66BD">
        <w:rPr>
          <w:rFonts w:cstheme="minorHAnsi"/>
          <w:lang w:eastAsia="pl-PL"/>
        </w:rPr>
        <w:t>Macierz musi umożliwiać obsługę dysków różnej pojemności w ramach grupy dysków.</w:t>
      </w:r>
    </w:p>
    <w:p w:rsidR="008D7D9B" w:rsidRPr="00FB66BD" w:rsidRDefault="008D7D9B" w:rsidP="009E0B02">
      <w:pPr>
        <w:pStyle w:val="Akapitzlist"/>
        <w:numPr>
          <w:ilvl w:val="0"/>
          <w:numId w:val="25"/>
        </w:numPr>
        <w:spacing w:line="276" w:lineRule="auto"/>
        <w:jc w:val="both"/>
        <w:rPr>
          <w:rFonts w:cstheme="minorHAnsi"/>
          <w:lang w:eastAsia="pl-PL"/>
        </w:rPr>
      </w:pPr>
      <w:r w:rsidRPr="00FB66BD">
        <w:rPr>
          <w:rFonts w:cstheme="minorHAnsi"/>
          <w:lang w:eastAsia="pl-PL"/>
        </w:rPr>
        <w:t xml:space="preserve">Macierz musi umożliwiać udostępnianie zasobów dyskowych do serwerów w trybie tradycyjnym, jak i w trybie typu </w:t>
      </w:r>
      <w:proofErr w:type="spellStart"/>
      <w:r w:rsidRPr="00FB66BD">
        <w:rPr>
          <w:rFonts w:cstheme="minorHAnsi"/>
          <w:lang w:eastAsia="pl-PL"/>
        </w:rPr>
        <w:t>Thin</w:t>
      </w:r>
      <w:proofErr w:type="spellEnd"/>
      <w:r w:rsidRPr="00FB66BD">
        <w:rPr>
          <w:rFonts w:cstheme="minorHAnsi"/>
          <w:lang w:eastAsia="pl-PL"/>
        </w:rPr>
        <w:t xml:space="preserve"> </w:t>
      </w:r>
      <w:proofErr w:type="spellStart"/>
      <w:r w:rsidRPr="00FB66BD">
        <w:rPr>
          <w:rFonts w:cstheme="minorHAnsi"/>
          <w:lang w:eastAsia="pl-PL"/>
        </w:rPr>
        <w:t>Provisioning</w:t>
      </w:r>
      <w:proofErr w:type="spellEnd"/>
      <w:r w:rsidRPr="00FB66BD">
        <w:rPr>
          <w:rFonts w:cstheme="minorHAnsi"/>
          <w:lang w:eastAsia="pl-PL"/>
        </w:rPr>
        <w:t>. Macierz musi umożliwiać odzyskiwanie przestrzeni dyskowych po usuniętych danych w ramach wolumenów typu Thin. Proces odzyskiwania danych musi być automatyczny bez konieczności uruchamiania dodatkowych procesów na kontrolerach macierzowych (wymagana obsługa standardu T10 SCSI UNMAP).</w:t>
      </w:r>
    </w:p>
    <w:p w:rsidR="008D7D9B" w:rsidRPr="00FB66BD" w:rsidRDefault="008D7D9B" w:rsidP="009E0B02">
      <w:pPr>
        <w:pStyle w:val="Akapitzlist"/>
        <w:numPr>
          <w:ilvl w:val="0"/>
          <w:numId w:val="25"/>
        </w:numPr>
        <w:spacing w:line="276" w:lineRule="auto"/>
        <w:jc w:val="both"/>
        <w:rPr>
          <w:rFonts w:cstheme="minorHAnsi"/>
          <w:lang w:eastAsia="pl-PL"/>
        </w:rPr>
      </w:pPr>
      <w:r w:rsidRPr="00FB66BD">
        <w:rPr>
          <w:rFonts w:cstheme="minorHAnsi"/>
          <w:lang w:eastAsia="pl-PL"/>
        </w:rPr>
        <w:t xml:space="preserve">Macierz musi posiadać funkcjonalność </w:t>
      </w:r>
      <w:proofErr w:type="spellStart"/>
      <w:r w:rsidRPr="00FB66BD">
        <w:rPr>
          <w:rFonts w:cstheme="minorHAnsi"/>
          <w:lang w:eastAsia="pl-PL"/>
        </w:rPr>
        <w:t>Tiering</w:t>
      </w:r>
      <w:proofErr w:type="spellEnd"/>
      <w:r w:rsidRPr="00FB66BD">
        <w:rPr>
          <w:rFonts w:cstheme="minorHAnsi"/>
          <w:lang w:eastAsia="pl-PL"/>
        </w:rPr>
        <w:t xml:space="preserve"> między dyskami SSD i SAS i między dyskami SAS i NL SAS. </w:t>
      </w:r>
      <w:proofErr w:type="spellStart"/>
      <w:r w:rsidRPr="00FB66BD">
        <w:rPr>
          <w:rFonts w:cstheme="minorHAnsi"/>
          <w:lang w:eastAsia="pl-PL"/>
        </w:rPr>
        <w:t>Tiering</w:t>
      </w:r>
      <w:proofErr w:type="spellEnd"/>
      <w:r w:rsidRPr="00FB66BD">
        <w:rPr>
          <w:rFonts w:cstheme="minorHAnsi"/>
          <w:lang w:eastAsia="pl-PL"/>
        </w:rPr>
        <w:t xml:space="preserve"> musi obejmować wszystkie woluminy w danej puli dyskowej.</w:t>
      </w:r>
    </w:p>
    <w:p w:rsidR="008D7D9B" w:rsidRPr="00FB66BD" w:rsidRDefault="008D7D9B" w:rsidP="009E0B02">
      <w:pPr>
        <w:pStyle w:val="Akapitzlist"/>
        <w:numPr>
          <w:ilvl w:val="0"/>
          <w:numId w:val="25"/>
        </w:numPr>
        <w:spacing w:line="276" w:lineRule="auto"/>
        <w:jc w:val="both"/>
        <w:rPr>
          <w:rFonts w:cstheme="minorHAnsi"/>
          <w:lang w:eastAsia="pl-PL"/>
        </w:rPr>
      </w:pPr>
      <w:r w:rsidRPr="00FB66BD">
        <w:rPr>
          <w:rFonts w:cstheme="minorHAnsi"/>
          <w:lang w:eastAsia="pl-PL"/>
        </w:rPr>
        <w:t>Dyski SSD mogą być wykorzystane zarówno do uzyskania pojemności w warstwie wydajności lub na potrzeby zwiększenia pamięci podręcznej odczytu w celu przyspieszenia operacji losowego odczytu z jednej lub wielu warstw napędów mechanicznych.</w:t>
      </w:r>
    </w:p>
    <w:p w:rsidR="008D7D9B" w:rsidRPr="00FB66BD" w:rsidRDefault="008D7D9B" w:rsidP="009E0B02">
      <w:pPr>
        <w:pStyle w:val="Akapitzlist"/>
        <w:numPr>
          <w:ilvl w:val="0"/>
          <w:numId w:val="25"/>
        </w:numPr>
        <w:spacing w:line="276" w:lineRule="auto"/>
        <w:jc w:val="both"/>
        <w:rPr>
          <w:rFonts w:cstheme="minorHAnsi"/>
          <w:lang w:eastAsia="pl-PL"/>
        </w:rPr>
      </w:pPr>
      <w:r w:rsidRPr="00FB66BD">
        <w:rPr>
          <w:rFonts w:cstheme="minorHAnsi"/>
          <w:lang w:eastAsia="pl-PL"/>
        </w:rPr>
        <w:t>Macierz musi umożliwiać dokonywania na żądanie tzw. migawkowej kopii danych (</w:t>
      </w:r>
      <w:proofErr w:type="spellStart"/>
      <w:r w:rsidRPr="00FB66BD">
        <w:rPr>
          <w:rFonts w:cstheme="minorHAnsi"/>
          <w:lang w:eastAsia="pl-PL"/>
        </w:rPr>
        <w:t>snapshot</w:t>
      </w:r>
      <w:proofErr w:type="spellEnd"/>
      <w:r w:rsidRPr="00FB66BD">
        <w:rPr>
          <w:rFonts w:cstheme="minorHAnsi"/>
          <w:lang w:eastAsia="pl-PL"/>
        </w:rPr>
        <w:t xml:space="preserve">, </w:t>
      </w:r>
      <w:proofErr w:type="spellStart"/>
      <w:r w:rsidRPr="00FB66BD">
        <w:rPr>
          <w:rFonts w:cstheme="minorHAnsi"/>
          <w:lang w:eastAsia="pl-PL"/>
        </w:rPr>
        <w:t>point-in-time</w:t>
      </w:r>
      <w:proofErr w:type="spellEnd"/>
      <w:r w:rsidRPr="00FB66BD">
        <w:rPr>
          <w:rFonts w:cstheme="minorHAnsi"/>
          <w:lang w:eastAsia="pl-PL"/>
        </w:rPr>
        <w:t xml:space="preserve">) w ramach macierzy za pomocą wewnętrznych kontrolerów macierzowych. Kopia </w:t>
      </w:r>
      <w:r w:rsidRPr="00FB66BD">
        <w:rPr>
          <w:rFonts w:cstheme="minorHAnsi"/>
          <w:lang w:eastAsia="pl-PL"/>
        </w:rPr>
        <w:lastRenderedPageBreak/>
        <w:t xml:space="preserve">migawkowa wykonuje się bez alokowania dodatkowej przestrzeni dyskowej na potrzeby kopii. Zajmowanie dodatkowej przestrzeni dyskowej następuje w momencie zmiany danych na dysku źródłowym lub na jego kopii. </w:t>
      </w:r>
    </w:p>
    <w:p w:rsidR="008D7D9B" w:rsidRPr="00FB66BD" w:rsidRDefault="008D7D9B" w:rsidP="009E0B02">
      <w:pPr>
        <w:pStyle w:val="Akapitzlist"/>
        <w:numPr>
          <w:ilvl w:val="0"/>
          <w:numId w:val="25"/>
        </w:numPr>
        <w:spacing w:line="276" w:lineRule="auto"/>
        <w:jc w:val="both"/>
        <w:rPr>
          <w:rFonts w:cstheme="minorHAnsi"/>
          <w:lang w:eastAsia="pl-PL"/>
        </w:rPr>
      </w:pPr>
      <w:r w:rsidRPr="00FB66BD">
        <w:rPr>
          <w:rFonts w:cstheme="minorHAnsi"/>
          <w:lang w:eastAsia="pl-PL"/>
        </w:rPr>
        <w:t xml:space="preserve">Macierz musi umożliwiać dokonywanie na żądanie pełnej fizycznej kopii danych (clone) w ramach macierzy za pomocą wewnętrznych kontrolerów macierzowych. </w:t>
      </w:r>
    </w:p>
    <w:p w:rsidR="008D7D9B" w:rsidRPr="00FB66BD" w:rsidRDefault="008D7D9B" w:rsidP="009E0B02">
      <w:pPr>
        <w:pStyle w:val="Akapitzlist"/>
        <w:numPr>
          <w:ilvl w:val="0"/>
          <w:numId w:val="25"/>
        </w:numPr>
        <w:spacing w:line="276" w:lineRule="auto"/>
        <w:jc w:val="both"/>
        <w:rPr>
          <w:rFonts w:cstheme="minorHAnsi"/>
          <w:lang w:eastAsia="pl-PL"/>
        </w:rPr>
      </w:pPr>
      <w:r w:rsidRPr="00FB66BD">
        <w:rPr>
          <w:rFonts w:cstheme="minorHAnsi"/>
          <w:lang w:eastAsia="pl-PL"/>
        </w:rPr>
        <w:t xml:space="preserve">Macierz dyskowa musi umożliwiać migrację danych bez przerywania do nich dostępu pomiędzy różnymi warstwami technologii dyskowych na poziomie części wolumenów logicznych (ang. </w:t>
      </w:r>
      <w:proofErr w:type="spellStart"/>
      <w:r w:rsidRPr="00FB66BD">
        <w:rPr>
          <w:rFonts w:cstheme="minorHAnsi"/>
          <w:lang w:eastAsia="pl-PL"/>
        </w:rPr>
        <w:t>Sub-LUN</w:t>
      </w:r>
      <w:proofErr w:type="spellEnd"/>
      <w:r w:rsidRPr="00FB66BD">
        <w:rPr>
          <w:rFonts w:cstheme="minorHAnsi"/>
          <w:lang w:eastAsia="pl-PL"/>
        </w:rPr>
        <w:t xml:space="preserve">). Zmiany te muszą się odbywać wewnętrznymi mechanizmami macierzy. Funkcjonalność musi umożliwiać zdefiniowanie zasobu LUN, który fizycznie będzie znajdował się na co najmniej 3 typach dysków obsługiwanych przez macierz, a jego części będą realokowane na podstawie analizy ruchu w sposób automatyczny i transparentny (bez przerywania dostępu do danych) dla korzystających z tego wolumenu hostów. Zmiany te muszą się odbywać wewnętrznymi mechanizmami macierzy. </w:t>
      </w:r>
    </w:p>
    <w:p w:rsidR="008D7D9B" w:rsidRPr="00FB66BD" w:rsidRDefault="008D7D9B" w:rsidP="009E0B02">
      <w:pPr>
        <w:pStyle w:val="Akapitzlist"/>
        <w:numPr>
          <w:ilvl w:val="0"/>
          <w:numId w:val="25"/>
        </w:numPr>
        <w:spacing w:line="276" w:lineRule="auto"/>
        <w:jc w:val="both"/>
        <w:rPr>
          <w:rFonts w:cstheme="minorHAnsi"/>
          <w:lang w:eastAsia="pl-PL"/>
        </w:rPr>
      </w:pPr>
      <w:r w:rsidRPr="00FB66BD">
        <w:rPr>
          <w:rFonts w:cstheme="minorHAnsi"/>
          <w:lang w:eastAsia="pl-PL"/>
        </w:rPr>
        <w:t xml:space="preserve">Macierz musi umożliwiać jednoczesne podłączenie wielu serwerów w trybie wysokiej dostępności (co najmniej dwoma ścieżkami). </w:t>
      </w:r>
    </w:p>
    <w:p w:rsidR="008D7D9B" w:rsidRPr="00FB66BD" w:rsidRDefault="008D7D9B" w:rsidP="009E0B02">
      <w:pPr>
        <w:pStyle w:val="Akapitzlist"/>
        <w:numPr>
          <w:ilvl w:val="0"/>
          <w:numId w:val="25"/>
        </w:numPr>
        <w:spacing w:line="276" w:lineRule="auto"/>
        <w:jc w:val="both"/>
        <w:rPr>
          <w:rFonts w:cstheme="minorHAnsi"/>
          <w:lang w:eastAsia="pl-PL"/>
        </w:rPr>
      </w:pPr>
      <w:r w:rsidRPr="00FB66BD">
        <w:rPr>
          <w:rFonts w:cstheme="minorHAnsi"/>
          <w:lang w:eastAsia="pl-PL"/>
        </w:rPr>
        <w:t>Macierz musi wspierać podłączenie następujących systemów operacyjnych: Windows, RHEL, SLES, VMWare.</w:t>
      </w:r>
    </w:p>
    <w:p w:rsidR="008D7D9B" w:rsidRPr="00FB66BD" w:rsidRDefault="008D7D9B" w:rsidP="009E0B02">
      <w:pPr>
        <w:pStyle w:val="Akapitzlist"/>
        <w:numPr>
          <w:ilvl w:val="0"/>
          <w:numId w:val="25"/>
        </w:numPr>
        <w:spacing w:line="276" w:lineRule="auto"/>
        <w:jc w:val="both"/>
        <w:rPr>
          <w:rFonts w:cstheme="minorHAnsi"/>
          <w:lang w:eastAsia="pl-PL"/>
        </w:rPr>
      </w:pPr>
      <w:r w:rsidRPr="00FB66BD">
        <w:rPr>
          <w:rFonts w:cstheme="minorHAnsi"/>
          <w:lang w:eastAsia="pl-PL"/>
        </w:rPr>
        <w:t>Macierz nie może posiadać pojedynczego punktu awarii, który powodowałby brak dostępu do danych. Musi być zapewniona pełna redundancja komponentów, w szczególności zdublowanie kontrolerów, zasilaczy i wentylatorów. Macierz musi umożliwiać wymianę elementów systemu w trybie „</w:t>
      </w:r>
      <w:proofErr w:type="spellStart"/>
      <w:r w:rsidRPr="00FB66BD">
        <w:rPr>
          <w:rFonts w:cstheme="minorHAnsi"/>
          <w:lang w:eastAsia="pl-PL"/>
        </w:rPr>
        <w:t>hot-swap</w:t>
      </w:r>
      <w:proofErr w:type="spellEnd"/>
      <w:r w:rsidRPr="00FB66BD">
        <w:rPr>
          <w:rFonts w:cstheme="minorHAnsi"/>
          <w:lang w:eastAsia="pl-PL"/>
        </w:rPr>
        <w:t>”, a w szczególności takich, jak: dyski, kontrolery, zasilacze, wentylatory. Macierz musi mieć możliwość zasilania z dwu niezależnych źródeł zasilania – odporność na zanik zasilania jednej fazy lub awarię jednego z zasilaczy macierzy.</w:t>
      </w:r>
    </w:p>
    <w:p w:rsidR="008D7D9B" w:rsidRPr="00FB66BD" w:rsidRDefault="008D7D9B" w:rsidP="009E0B02">
      <w:pPr>
        <w:pStyle w:val="Akapitzlist"/>
        <w:numPr>
          <w:ilvl w:val="0"/>
          <w:numId w:val="25"/>
        </w:numPr>
        <w:spacing w:line="276" w:lineRule="auto"/>
        <w:jc w:val="both"/>
        <w:rPr>
          <w:rFonts w:cstheme="minorHAnsi"/>
          <w:lang w:eastAsia="pl-PL"/>
        </w:rPr>
      </w:pPr>
      <w:r w:rsidRPr="00FB66BD">
        <w:rPr>
          <w:rFonts w:cstheme="minorHAnsi"/>
          <w:lang w:eastAsia="pl-PL"/>
        </w:rPr>
        <w:t>Jeżeli do obsługi powyższych funkcjonalności wymagane są dodatkowe licencje Wykonawca jest je zobowiązany dostarczyć w ramach niniejszego postępowania.</w:t>
      </w:r>
    </w:p>
    <w:p w:rsidR="008D7D9B" w:rsidRPr="00230FEF" w:rsidRDefault="008D7D9B" w:rsidP="009E0B02">
      <w:pPr>
        <w:pStyle w:val="Akapitzlist"/>
        <w:numPr>
          <w:ilvl w:val="0"/>
          <w:numId w:val="25"/>
        </w:numPr>
        <w:spacing w:before="240" w:after="120" w:line="276" w:lineRule="auto"/>
        <w:ind w:right="72"/>
        <w:jc w:val="both"/>
        <w:rPr>
          <w:color w:val="000000" w:themeColor="text1"/>
        </w:rPr>
      </w:pPr>
      <w:r w:rsidRPr="000636DA">
        <w:rPr>
          <w:color w:val="000000" w:themeColor="text1"/>
        </w:rPr>
        <w:t xml:space="preserve">Jakość produktu i sposobu jego wykonania: Certyfikat ISO 9001 lub inny równoważny dokument poświadczający, że producent </w:t>
      </w:r>
      <w:r>
        <w:rPr>
          <w:color w:val="000000" w:themeColor="text1"/>
        </w:rPr>
        <w:t>macierzy</w:t>
      </w:r>
      <w:r w:rsidRPr="000636DA">
        <w:rPr>
          <w:color w:val="000000" w:themeColor="text1"/>
        </w:rPr>
        <w:t xml:space="preserve"> opracował, wdrożył i certyfikował system zarządzania jakością; Certyfikat ISO 50001</w:t>
      </w:r>
      <w:r>
        <w:rPr>
          <w:color w:val="000000" w:themeColor="text1"/>
        </w:rPr>
        <w:t xml:space="preserve"> lub ISO 14001</w:t>
      </w:r>
      <w:r w:rsidRPr="000636DA">
        <w:rPr>
          <w:color w:val="000000" w:themeColor="text1"/>
        </w:rPr>
        <w:t xml:space="preserve"> lub inny równoważny dokument poświadczający, że producent </w:t>
      </w:r>
      <w:r>
        <w:rPr>
          <w:color w:val="000000" w:themeColor="text1"/>
        </w:rPr>
        <w:t>macierzy</w:t>
      </w:r>
      <w:r w:rsidRPr="000636DA">
        <w:rPr>
          <w:color w:val="000000" w:themeColor="text1"/>
        </w:rPr>
        <w:t xml:space="preserve"> posiada system zarządzania energią, zmniejszający zużycie energii, wpływy na środowisko i zwiększający rentowność; Deklaracja zgodności CE lub inny równoważny dokument poświadczający, ze oferowan</w:t>
      </w:r>
      <w:r>
        <w:rPr>
          <w:color w:val="000000" w:themeColor="text1"/>
        </w:rPr>
        <w:t>a macierz</w:t>
      </w:r>
      <w:r w:rsidRPr="000636DA">
        <w:rPr>
          <w:color w:val="000000" w:themeColor="text1"/>
        </w:rPr>
        <w:t xml:space="preserve"> spełnia wszystkie zasadnicze wymagania zawarte w poszczególnych dyrektywach nowego podejścia przewidujących oznakowanie CE; Potwierdzenie spełnienia kryteriów środowiskowych, w tym zgodności z dyrektywą RoHS Unii Europejskiej o eliminacji substancji niebezpiecznych w postaci oświadczenia producenta </w:t>
      </w:r>
      <w:r>
        <w:rPr>
          <w:color w:val="000000" w:themeColor="text1"/>
        </w:rPr>
        <w:t>macierzy</w:t>
      </w:r>
      <w:r w:rsidRPr="000636DA">
        <w:rPr>
          <w:color w:val="000000" w:themeColor="text1"/>
        </w:rPr>
        <w:t xml:space="preserve"> lub innego dokumentu potwierdzającego spełnienie kryteriów </w:t>
      </w:r>
      <w:r w:rsidRPr="00230FEF">
        <w:rPr>
          <w:color w:val="000000" w:themeColor="text1"/>
        </w:rPr>
        <w:t xml:space="preserve">środowiskowych w tym zgodności z dyrektywą RoHS Unii Europejskiej o eliminacji substancji niebezpiecznych. </w:t>
      </w:r>
      <w:r w:rsidRPr="00230FEF">
        <w:t>Zamawiający żąda załączenia do oferty przedmiotowych środków dowodowych - dokumentów potwierdzających spełnienie przez oferowaną macierz i jej producenta wymagań w zakresie określonym powyżej.</w:t>
      </w:r>
    </w:p>
    <w:p w:rsidR="008D7D9B" w:rsidRPr="00373051" w:rsidRDefault="008D7D9B" w:rsidP="009E0B02">
      <w:pPr>
        <w:pStyle w:val="Akapitzlist"/>
        <w:numPr>
          <w:ilvl w:val="0"/>
          <w:numId w:val="25"/>
        </w:numPr>
        <w:spacing w:before="240" w:after="120" w:line="276" w:lineRule="auto"/>
        <w:ind w:right="72"/>
        <w:jc w:val="both"/>
        <w:rPr>
          <w:color w:val="000000" w:themeColor="text1"/>
        </w:rPr>
      </w:pPr>
      <w:r w:rsidRPr="00373051">
        <w:rPr>
          <w:rFonts w:cstheme="minorHAnsi"/>
          <w:lang w:eastAsia="pl-PL"/>
        </w:rPr>
        <w:t xml:space="preserve">Gwarancja: min. 60 miesięcy gwarancji producenta obejmująca wszystkie komponenty </w:t>
      </w:r>
      <w:r>
        <w:rPr>
          <w:rFonts w:cstheme="minorHAnsi"/>
          <w:lang w:eastAsia="pl-PL"/>
        </w:rPr>
        <w:t>macierzy</w:t>
      </w:r>
      <w:r w:rsidRPr="00373051">
        <w:rPr>
          <w:rFonts w:cstheme="minorHAnsi"/>
          <w:lang w:eastAsia="pl-PL"/>
        </w:rPr>
        <w:t xml:space="preserve"> wchodzące w skład oferowanej konfiguracji realizowanej w miejscu instalacji sprzętu z czasem reakcji serwisu do następnego dnia roboczego od przyjęcia zgłoszenia, w przypadku awarii dysków Zamawiający wymaga, aby dyski pozostały u Zamawiającego. Możliwość zgłaszania awarii w języku polskim poprzez ogólnopolską linię telefoniczną producenta oraz dedykowany portal techniczny producenta, dla obu kanałów w trybie ciągłym, tj. niezależnie od pory dnia, dni roboczych i dni wolnych od pracy. Zamawiający wymaga pojedynczego serwisowego punktu </w:t>
      </w:r>
      <w:r w:rsidRPr="00373051">
        <w:rPr>
          <w:rFonts w:cstheme="minorHAnsi"/>
          <w:lang w:eastAsia="pl-PL"/>
        </w:rPr>
        <w:lastRenderedPageBreak/>
        <w:t xml:space="preserve">kontaktu dla całego rozwiązania Producenta (w tym także zaoferowanego oprogramowania) umożliwiającego komunikację w języku polskim. Zamawiający oczekuje nieodpłatnego udostępnienia narzędzi serwisowych i procesów wsparcia umożliwiających: Wykrywanie usterek sprzętowych z predykcją awarii, automatyczną diagnostykę i zdalne otwieranie zgłoszeń serwisowych, wskazówki dotyczące bezpieczeństwa produktów, samodzielne wysyłanie części, a także ocenę bezpieczeństwa cybernetycznego. Wszelkie naprawy mogą być realizowane przez osoby certyfikowane przez producenta, które po diagnostyce muszą z właściwym zestawem części do naprawy (potwierdzonym na etapie diagnostyki) rozpocząć naprawę w siedzibie Zamawiającego najpóźniej w następnym dniu roboczym (NBD) od zakończenia diagnostyki. W przypadku jeżeli serwis gwarancyjny urządzeń nie będzie realizowany bezpośrednio przez producenta urządzenia, wówczas firma serwisująca musi posiadać certyfikat ISO 9001 oraz ISO 27001 </w:t>
      </w:r>
      <w:r w:rsidRPr="00373051">
        <w:rPr>
          <w:color w:val="000000" w:themeColor="text1"/>
        </w:rPr>
        <w:t>lub inny równoważny dokument poświadczający</w:t>
      </w:r>
      <w:r w:rsidRPr="00373051">
        <w:rPr>
          <w:rFonts w:cstheme="minorHAnsi"/>
          <w:lang w:eastAsia="pl-PL"/>
        </w:rPr>
        <w:t>, że usługi serwisu świadczone będą zgodnie z zasadami wynikającymi z tych norm oraz firma serwisująca musi posiadać autoryzacje producenta urządzeń, w takim przypadku Wykonawca jest zobowiązany dostarczyć wraz z ofertą dokumenty potwierdzające spełnienie przez firmę serwisującą przedmiotowego wymogu. Możliwość przedłużenia gwarancji producenta do 72 miesięcy.</w:t>
      </w:r>
    </w:p>
    <w:p w:rsidR="00324EF9" w:rsidRDefault="00324EF9" w:rsidP="00324EF9">
      <w:pPr>
        <w:pStyle w:val="Nagwek1"/>
        <w:numPr>
          <w:ilvl w:val="1"/>
          <w:numId w:val="1"/>
        </w:numPr>
        <w:spacing w:after="240" w:line="276" w:lineRule="auto"/>
      </w:pPr>
      <w:bookmarkStart w:id="9" w:name="_Toc210373440"/>
      <w:r w:rsidRPr="00324EF9">
        <w:t>Zakup UPS (1 szt.).</w:t>
      </w:r>
      <w:bookmarkEnd w:id="9"/>
    </w:p>
    <w:p w:rsidR="00324EF9" w:rsidRPr="00940B65" w:rsidRDefault="00324EF9" w:rsidP="00324EF9">
      <w:pPr>
        <w:spacing w:after="0" w:line="276" w:lineRule="auto"/>
        <w:jc w:val="both"/>
      </w:pPr>
      <w:r w:rsidRPr="00940B65">
        <w:t>Minimalne parametry techniczne urządzenia:</w:t>
      </w:r>
    </w:p>
    <w:p w:rsidR="00324EF9" w:rsidRPr="004B29FD" w:rsidRDefault="00324EF9" w:rsidP="009E0B02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cstheme="minorHAnsi"/>
          <w:lang w:eastAsia="pl-PL"/>
        </w:rPr>
      </w:pPr>
      <w:r w:rsidRPr="004B29FD">
        <w:rPr>
          <w:rFonts w:cstheme="minorHAnsi"/>
          <w:lang w:eastAsia="pl-PL"/>
        </w:rPr>
        <w:t xml:space="preserve">Typ obudowy: </w:t>
      </w:r>
      <w:r>
        <w:rPr>
          <w:rFonts w:cstheme="minorHAnsi"/>
          <w:lang w:eastAsia="pl-PL"/>
        </w:rPr>
        <w:t>umożliwiająca umieszczenie w szafie RACK a także zapewniająca ustawienie wolnostojące.</w:t>
      </w:r>
    </w:p>
    <w:p w:rsidR="00324EF9" w:rsidRPr="004B29FD" w:rsidRDefault="00324EF9" w:rsidP="009E0B02">
      <w:pPr>
        <w:pStyle w:val="Akapitzlist"/>
        <w:numPr>
          <w:ilvl w:val="0"/>
          <w:numId w:val="37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4B29FD">
        <w:rPr>
          <w:rFonts w:cstheme="minorHAnsi"/>
          <w:lang w:eastAsia="pl-PL"/>
        </w:rPr>
        <w:t xml:space="preserve">Moc pozorna: min. </w:t>
      </w:r>
      <w:r>
        <w:rPr>
          <w:rFonts w:cstheme="minorHAnsi"/>
          <w:lang w:eastAsia="pl-PL"/>
        </w:rPr>
        <w:t>3000 VA.</w:t>
      </w:r>
    </w:p>
    <w:p w:rsidR="00324EF9" w:rsidRPr="004B29FD" w:rsidRDefault="00324EF9" w:rsidP="009E0B02">
      <w:pPr>
        <w:pStyle w:val="Akapitzlist"/>
        <w:numPr>
          <w:ilvl w:val="0"/>
          <w:numId w:val="37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4B29FD">
        <w:rPr>
          <w:rFonts w:cstheme="minorHAnsi"/>
          <w:lang w:eastAsia="pl-PL"/>
        </w:rPr>
        <w:t xml:space="preserve">Moc rzeczywista: min. </w:t>
      </w:r>
      <w:r>
        <w:rPr>
          <w:rFonts w:cstheme="minorHAnsi"/>
          <w:lang w:eastAsia="pl-PL"/>
        </w:rPr>
        <w:t>3000 W.</w:t>
      </w:r>
    </w:p>
    <w:p w:rsidR="00324EF9" w:rsidRDefault="00324EF9" w:rsidP="009E0B02">
      <w:pPr>
        <w:pStyle w:val="Akapitzlist"/>
        <w:numPr>
          <w:ilvl w:val="0"/>
          <w:numId w:val="37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4B29FD">
        <w:rPr>
          <w:rFonts w:cstheme="minorHAnsi"/>
          <w:lang w:eastAsia="pl-PL"/>
        </w:rPr>
        <w:t xml:space="preserve">Architektura </w:t>
      </w:r>
      <w:proofErr w:type="spellStart"/>
      <w:r w:rsidRPr="004B29FD">
        <w:rPr>
          <w:rFonts w:cstheme="minorHAnsi"/>
          <w:lang w:eastAsia="pl-PL"/>
        </w:rPr>
        <w:t>UPSa</w:t>
      </w:r>
      <w:proofErr w:type="spellEnd"/>
      <w:r w:rsidRPr="004B29FD">
        <w:rPr>
          <w:rFonts w:cstheme="minorHAnsi"/>
          <w:lang w:eastAsia="pl-PL"/>
        </w:rPr>
        <w:t xml:space="preserve">: </w:t>
      </w:r>
      <w:proofErr w:type="spellStart"/>
      <w:r w:rsidRPr="004B29FD">
        <w:rPr>
          <w:rFonts w:cstheme="minorHAnsi"/>
          <w:lang w:eastAsia="pl-PL"/>
        </w:rPr>
        <w:t>line-interactive</w:t>
      </w:r>
      <w:proofErr w:type="spellEnd"/>
      <w:r w:rsidRPr="004B29FD">
        <w:rPr>
          <w:rFonts w:cstheme="minorHAnsi"/>
          <w:lang w:eastAsia="pl-PL"/>
        </w:rPr>
        <w:t xml:space="preserve"> lub </w:t>
      </w:r>
      <w:proofErr w:type="spellStart"/>
      <w:r w:rsidRPr="004B29FD">
        <w:rPr>
          <w:rFonts w:cstheme="minorHAnsi"/>
          <w:lang w:eastAsia="pl-PL"/>
        </w:rPr>
        <w:t>online</w:t>
      </w:r>
      <w:proofErr w:type="spellEnd"/>
      <w:r w:rsidRPr="004B29FD">
        <w:rPr>
          <w:rFonts w:cstheme="minorHAnsi"/>
          <w:lang w:eastAsia="pl-PL"/>
        </w:rPr>
        <w:t>.</w:t>
      </w:r>
    </w:p>
    <w:p w:rsidR="00324EF9" w:rsidRPr="004B29FD" w:rsidRDefault="00324EF9" w:rsidP="009E0B02">
      <w:pPr>
        <w:pStyle w:val="Akapitzlist"/>
        <w:numPr>
          <w:ilvl w:val="0"/>
          <w:numId w:val="37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Typ przebiegu: sinusoidalny.</w:t>
      </w:r>
    </w:p>
    <w:p w:rsidR="00324EF9" w:rsidRPr="004B29FD" w:rsidRDefault="00324EF9" w:rsidP="009E0B02">
      <w:pPr>
        <w:pStyle w:val="Akapitzlist"/>
        <w:numPr>
          <w:ilvl w:val="0"/>
          <w:numId w:val="37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4B29FD">
        <w:rPr>
          <w:rFonts w:cstheme="minorHAnsi"/>
          <w:lang w:eastAsia="pl-PL"/>
        </w:rPr>
        <w:t xml:space="preserve">Liczba i rodzaj gniazdek z utrzymaniem zasilania: </w:t>
      </w:r>
      <w:r>
        <w:rPr>
          <w:rFonts w:cstheme="minorHAnsi"/>
          <w:lang w:eastAsia="pl-PL"/>
        </w:rPr>
        <w:t>min.</w:t>
      </w:r>
      <w:r w:rsidRPr="004B29FD">
        <w:rPr>
          <w:rFonts w:cstheme="minorHAnsi"/>
          <w:lang w:eastAsia="pl-PL"/>
        </w:rPr>
        <w:t xml:space="preserve"> 8x IEC320 C13</w:t>
      </w:r>
      <w:r>
        <w:rPr>
          <w:rFonts w:cstheme="minorHAnsi"/>
          <w:lang w:eastAsia="pl-PL"/>
        </w:rPr>
        <w:t>.</w:t>
      </w:r>
    </w:p>
    <w:p w:rsidR="00324EF9" w:rsidRPr="004B29FD" w:rsidRDefault="00324EF9" w:rsidP="009E0B02">
      <w:pPr>
        <w:pStyle w:val="Akapitzlist"/>
        <w:numPr>
          <w:ilvl w:val="0"/>
          <w:numId w:val="37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4B29FD">
        <w:rPr>
          <w:rFonts w:cstheme="minorHAnsi"/>
          <w:lang w:eastAsia="pl-PL"/>
        </w:rPr>
        <w:t>Typ gniazda wejściowego: C14 lub C20.</w:t>
      </w:r>
    </w:p>
    <w:p w:rsidR="00324EF9" w:rsidRPr="004B29FD" w:rsidRDefault="00324EF9" w:rsidP="009E0B02">
      <w:pPr>
        <w:pStyle w:val="Akapitzlist"/>
        <w:numPr>
          <w:ilvl w:val="0"/>
          <w:numId w:val="37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4B29FD">
        <w:rPr>
          <w:rFonts w:cstheme="minorHAnsi"/>
          <w:lang w:eastAsia="pl-PL"/>
        </w:rPr>
        <w:t xml:space="preserve">Czas podtrzymania dla obciążenia 100%: min. </w:t>
      </w:r>
      <w:r>
        <w:rPr>
          <w:rFonts w:cstheme="minorHAnsi"/>
          <w:lang w:eastAsia="pl-PL"/>
        </w:rPr>
        <w:t>3</w:t>
      </w:r>
      <w:r w:rsidRPr="004B29FD">
        <w:rPr>
          <w:rFonts w:cstheme="minorHAnsi"/>
          <w:lang w:eastAsia="pl-PL"/>
        </w:rPr>
        <w:t xml:space="preserve"> min.</w:t>
      </w:r>
    </w:p>
    <w:p w:rsidR="00324EF9" w:rsidRPr="004B29FD" w:rsidRDefault="00324EF9" w:rsidP="009E0B02">
      <w:pPr>
        <w:pStyle w:val="Akapitzlist"/>
        <w:numPr>
          <w:ilvl w:val="0"/>
          <w:numId w:val="37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4B29FD">
        <w:rPr>
          <w:rFonts w:cstheme="minorHAnsi"/>
          <w:lang w:eastAsia="pl-PL"/>
        </w:rPr>
        <w:t xml:space="preserve">Czas podtrzymania przy obciążeniu 50%: min. </w:t>
      </w:r>
      <w:r>
        <w:rPr>
          <w:rFonts w:cstheme="minorHAnsi"/>
          <w:lang w:eastAsia="pl-PL"/>
        </w:rPr>
        <w:t>10</w:t>
      </w:r>
      <w:r w:rsidRPr="004B29FD">
        <w:rPr>
          <w:rFonts w:cstheme="minorHAnsi"/>
          <w:lang w:eastAsia="pl-PL"/>
        </w:rPr>
        <w:t xml:space="preserve"> min.</w:t>
      </w:r>
    </w:p>
    <w:p w:rsidR="00324EF9" w:rsidRPr="004B29FD" w:rsidRDefault="00324EF9" w:rsidP="009E0B02">
      <w:pPr>
        <w:pStyle w:val="Akapitzlist"/>
        <w:numPr>
          <w:ilvl w:val="0"/>
          <w:numId w:val="37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Zabezpieczenia: p</w:t>
      </w:r>
      <w:r w:rsidRPr="004B29FD">
        <w:rPr>
          <w:rFonts w:cstheme="minorHAnsi"/>
          <w:lang w:eastAsia="pl-PL"/>
        </w:rPr>
        <w:t>rzeciwprzepięciowe, przeciwzwarciowe, przeciwprzeciążeniowe</w:t>
      </w:r>
      <w:r>
        <w:rPr>
          <w:rFonts w:cstheme="minorHAnsi"/>
          <w:lang w:eastAsia="pl-PL"/>
        </w:rPr>
        <w:t>.</w:t>
      </w:r>
    </w:p>
    <w:p w:rsidR="00324EF9" w:rsidRDefault="00324EF9" w:rsidP="009E0B02">
      <w:pPr>
        <w:pStyle w:val="Akapitzlist"/>
        <w:numPr>
          <w:ilvl w:val="0"/>
          <w:numId w:val="37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4B29FD">
        <w:rPr>
          <w:rFonts w:cstheme="minorHAnsi"/>
          <w:lang w:eastAsia="pl-PL"/>
        </w:rPr>
        <w:t>Wyświetlacz LCD</w:t>
      </w:r>
      <w:r>
        <w:rPr>
          <w:rFonts w:cstheme="minorHAnsi"/>
          <w:lang w:eastAsia="pl-PL"/>
        </w:rPr>
        <w:t xml:space="preserve"> lub diody LED sygnalizujące stan pracy urządzenia.</w:t>
      </w:r>
    </w:p>
    <w:p w:rsidR="00324EF9" w:rsidRPr="004B29FD" w:rsidRDefault="00324EF9" w:rsidP="009E0B02">
      <w:pPr>
        <w:pStyle w:val="Akapitzlist"/>
        <w:numPr>
          <w:ilvl w:val="0"/>
          <w:numId w:val="37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Alarmy dźwiękowe urządzenia sygnalizujące stan pracy urządzenia w zakresie określonych przez producenta zdarzeń.</w:t>
      </w:r>
    </w:p>
    <w:p w:rsidR="00324EF9" w:rsidRPr="00201108" w:rsidRDefault="00324EF9" w:rsidP="009E0B02">
      <w:pPr>
        <w:pStyle w:val="Akapitzlist"/>
        <w:numPr>
          <w:ilvl w:val="0"/>
          <w:numId w:val="37"/>
        </w:numPr>
        <w:spacing w:before="100" w:beforeAutospacing="1" w:after="120" w:line="276" w:lineRule="auto"/>
        <w:jc w:val="both"/>
        <w:rPr>
          <w:rFonts w:cstheme="minorHAnsi"/>
          <w:lang w:val="de-DE" w:eastAsia="pl-PL"/>
        </w:rPr>
      </w:pPr>
      <w:proofErr w:type="spellStart"/>
      <w:r w:rsidRPr="00201108">
        <w:rPr>
          <w:rFonts w:cstheme="minorHAnsi"/>
          <w:lang w:val="de-DE" w:eastAsia="pl-PL"/>
        </w:rPr>
        <w:t>Interfejsy</w:t>
      </w:r>
      <w:proofErr w:type="spellEnd"/>
      <w:r w:rsidRPr="00201108">
        <w:rPr>
          <w:rFonts w:cstheme="minorHAnsi"/>
          <w:lang w:val="de-DE" w:eastAsia="pl-PL"/>
        </w:rPr>
        <w:t>: min. 1 x USB, 1 x RJ45.</w:t>
      </w:r>
    </w:p>
    <w:p w:rsidR="00324EF9" w:rsidRPr="00230FEF" w:rsidRDefault="00324EF9" w:rsidP="009E0B02">
      <w:pPr>
        <w:pStyle w:val="Akapitzlist"/>
        <w:numPr>
          <w:ilvl w:val="0"/>
          <w:numId w:val="37"/>
        </w:numPr>
        <w:spacing w:line="276" w:lineRule="auto"/>
        <w:jc w:val="both"/>
      </w:pPr>
      <w:r w:rsidRPr="004F0501">
        <w:rPr>
          <w:rFonts w:cstheme="minorHAnsi"/>
          <w:lang w:eastAsia="pl-PL"/>
        </w:rPr>
        <w:t xml:space="preserve">Jakość produktu i sposobu jego wykonania: </w:t>
      </w:r>
      <w:r w:rsidRPr="006D06B6">
        <w:rPr>
          <w:color w:val="000000" w:themeColor="text1"/>
        </w:rPr>
        <w:t xml:space="preserve">Deklaracja zgodności CE lub inny równoważny dokument poświadczający, że oferowany </w:t>
      </w:r>
      <w:r>
        <w:rPr>
          <w:color w:val="000000" w:themeColor="text1"/>
        </w:rPr>
        <w:t>UPS</w:t>
      </w:r>
      <w:r w:rsidRPr="006D06B6">
        <w:rPr>
          <w:color w:val="000000" w:themeColor="text1"/>
        </w:rPr>
        <w:t xml:space="preserve"> spełnia wszystkie zasadnicze wymagania zawarte w poszczególnych dyrektywach nowego podejścia przewidujących oznakowanie CE</w:t>
      </w:r>
      <w:r>
        <w:rPr>
          <w:color w:val="000000" w:themeColor="text1"/>
        </w:rPr>
        <w:t xml:space="preserve">. </w:t>
      </w:r>
      <w:r w:rsidRPr="00AA0713">
        <w:rPr>
          <w:color w:val="000000" w:themeColor="text1"/>
        </w:rPr>
        <w:t>Potwierdzenie spełnienia kryteriów środowiskowych, w tym zgodności z dyrektywą RoHS Unii Europejskiej o eliminacji substancji niebezpiecznych w postaci deklaracji RoHS dla produktu lub oświadczenia producenta UPS lub innego dokumentu potwierdzającego spełnienie kryteriów środowiskowych w tym zgodności z dyrektywą RoHS Unii Europejskiej o eliminacji substancji niebezpiecznych</w:t>
      </w:r>
      <w:r>
        <w:t xml:space="preserve">. </w:t>
      </w:r>
      <w:r w:rsidRPr="00230FEF">
        <w:rPr>
          <w:rFonts w:cstheme="minorHAnsi"/>
          <w:lang w:eastAsia="pl-PL"/>
        </w:rPr>
        <w:t>Zamawiający żąda załączenia do oferty przedmiotowych środków dowodowych - dokumentów potwierdzających spełnienie przez oferowany UPS wymagań w zakresie określonym powyżej.</w:t>
      </w:r>
      <w:r w:rsidRPr="00230FEF">
        <w:t xml:space="preserve"> </w:t>
      </w:r>
    </w:p>
    <w:p w:rsidR="00324EF9" w:rsidRPr="00A370E2" w:rsidRDefault="00324EF9" w:rsidP="009E0B02">
      <w:pPr>
        <w:pStyle w:val="Akapitzlist"/>
        <w:numPr>
          <w:ilvl w:val="0"/>
          <w:numId w:val="37"/>
        </w:numPr>
        <w:spacing w:line="276" w:lineRule="auto"/>
        <w:jc w:val="both"/>
        <w:rPr>
          <w:color w:val="000000" w:themeColor="text1"/>
        </w:rPr>
      </w:pPr>
      <w:r w:rsidRPr="00A370E2">
        <w:rPr>
          <w:color w:val="000000" w:themeColor="text1"/>
        </w:rPr>
        <w:t>Gwarancja producenta: min. 24 miesiące.</w:t>
      </w:r>
    </w:p>
    <w:p w:rsidR="00324EF9" w:rsidRDefault="00324EF9" w:rsidP="00324EF9">
      <w:pPr>
        <w:pStyle w:val="Nagwek1"/>
        <w:numPr>
          <w:ilvl w:val="1"/>
          <w:numId w:val="1"/>
        </w:numPr>
        <w:spacing w:after="240" w:line="276" w:lineRule="auto"/>
      </w:pPr>
      <w:bookmarkStart w:id="10" w:name="_Toc210373441"/>
      <w:r w:rsidRPr="00324EF9">
        <w:lastRenderedPageBreak/>
        <w:t>Zakup UTM (1 szt.).</w:t>
      </w:r>
      <w:bookmarkEnd w:id="10"/>
    </w:p>
    <w:p w:rsidR="00E73451" w:rsidRPr="00A9141C" w:rsidRDefault="00E73451" w:rsidP="00E73451">
      <w:pPr>
        <w:pStyle w:val="Akapitzlist"/>
        <w:spacing w:after="0" w:line="276" w:lineRule="auto"/>
        <w:ind w:left="0"/>
        <w:jc w:val="both"/>
        <w:rPr>
          <w:rFonts w:ascii="Calibri" w:hAnsi="Calibri" w:cs="Calibri"/>
        </w:rPr>
      </w:pPr>
      <w:r w:rsidRPr="00810E47">
        <w:rPr>
          <w:rFonts w:ascii="Calibri" w:hAnsi="Calibri" w:cs="Calibri"/>
        </w:rPr>
        <w:t xml:space="preserve">W ramach działania przewiduje się zakup </w:t>
      </w:r>
      <w:r>
        <w:rPr>
          <w:rFonts w:ascii="Calibri" w:hAnsi="Calibri" w:cs="Calibri"/>
        </w:rPr>
        <w:t xml:space="preserve">urządzenia UTM wraz z licencjami subskrypcyjnymi dla Urzędu Gminy w Siemieniu. </w:t>
      </w:r>
      <w:r w:rsidRPr="00810E47">
        <w:rPr>
          <w:rFonts w:ascii="Calibri" w:hAnsi="Calibri" w:cs="Calibri"/>
        </w:rPr>
        <w:t xml:space="preserve">Subskrypcja musi umożliwić Zamawiającemu korzystanie z aktualnych baz funkcji ochronnych producenta i serwisów oraz obejmować kontrolę aplikacji, IPS, antywirus, antyspam, web filtering. W ramach przedmiotu zamówienia Wykonawca musi zapewnić także wsparcie techniczne, które może być tylko </w:t>
      </w:r>
      <w:r w:rsidRPr="00E4451B">
        <w:rPr>
          <w:rFonts w:ascii="Calibri" w:hAnsi="Calibri" w:cs="Calibri"/>
        </w:rPr>
        <w:t xml:space="preserve">realizowane przez producenta, dystrybutora, bądź oficjalnego partnera dystrybutora. Subskrypcja dla urządzenia UTM obejmująca wszystkie wymagania wskazane powyżej musi być dostarczona </w:t>
      </w:r>
      <w:r w:rsidRPr="00E4451B">
        <w:t xml:space="preserve">na </w:t>
      </w:r>
      <w:r w:rsidRPr="00187CAD">
        <w:t xml:space="preserve">okres </w:t>
      </w:r>
      <w:r w:rsidRPr="000E795C">
        <w:t xml:space="preserve">do dnia </w:t>
      </w:r>
      <w:r>
        <w:t>30</w:t>
      </w:r>
      <w:r w:rsidRPr="000E795C">
        <w:t>.0</w:t>
      </w:r>
      <w:r w:rsidR="00BE012C">
        <w:t>9</w:t>
      </w:r>
      <w:r w:rsidRPr="000E795C">
        <w:t>.2026 r.</w:t>
      </w:r>
      <w:r>
        <w:t xml:space="preserve"> </w:t>
      </w:r>
      <w:r w:rsidRPr="00187CAD">
        <w:t>niezależnie</w:t>
      </w:r>
      <w:r>
        <w:t xml:space="preserve"> od oferowanych modeli licencjonowania producenta.</w:t>
      </w:r>
    </w:p>
    <w:p w:rsidR="00E73451" w:rsidRPr="00810E47" w:rsidRDefault="00E73451" w:rsidP="00E73451">
      <w:pPr>
        <w:pStyle w:val="Akapitzlist"/>
        <w:spacing w:after="0" w:line="276" w:lineRule="auto"/>
        <w:ind w:left="0"/>
        <w:jc w:val="both"/>
        <w:rPr>
          <w:rFonts w:ascii="Calibri" w:hAnsi="Calibri" w:cs="Calibri"/>
        </w:rPr>
      </w:pPr>
    </w:p>
    <w:p w:rsidR="00E73451" w:rsidRPr="00810E47" w:rsidRDefault="00E73451" w:rsidP="00E73451">
      <w:pPr>
        <w:pStyle w:val="Akapitzlist"/>
        <w:spacing w:after="0" w:line="276" w:lineRule="auto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Minimalne wymagania techniczne urządzenia: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 xml:space="preserve">Przepustowość Firewall: min. </w:t>
      </w:r>
      <w:r w:rsidR="00701709">
        <w:t>10</w:t>
      </w:r>
      <w:r w:rsidRPr="00940B65">
        <w:t xml:space="preserve"> Gbps.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 xml:space="preserve">Musi obsługiwać min. </w:t>
      </w:r>
      <w:r w:rsidR="00701709">
        <w:t>700 000</w:t>
      </w:r>
      <w:r w:rsidRPr="00940B65">
        <w:t xml:space="preserve"> jednoczesnych połączeń.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>Musi obsługiwać co najmniej 200 połączeń VPN.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 xml:space="preserve">Wydajność </w:t>
      </w:r>
      <w:proofErr w:type="spellStart"/>
      <w:r w:rsidRPr="00940B65">
        <w:t>IPsec</w:t>
      </w:r>
      <w:proofErr w:type="spellEnd"/>
      <w:r w:rsidRPr="00940B65">
        <w:t xml:space="preserve"> VPN min. </w:t>
      </w:r>
      <w:r w:rsidR="004242B7">
        <w:t>6,</w:t>
      </w:r>
      <w:r w:rsidR="006457B7">
        <w:t>5</w:t>
      </w:r>
      <w:r w:rsidRPr="00940B65">
        <w:t xml:space="preserve"> Gbps.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 xml:space="preserve">Wydajność skanowania ruchu w celu ochrony przed atakami (zarówno </w:t>
      </w:r>
      <w:proofErr w:type="spellStart"/>
      <w:r w:rsidRPr="00940B65">
        <w:t>client</w:t>
      </w:r>
      <w:proofErr w:type="spellEnd"/>
      <w:r w:rsidRPr="00940B65">
        <w:t xml:space="preserve"> </w:t>
      </w:r>
      <w:proofErr w:type="spellStart"/>
      <w:r w:rsidRPr="00940B65">
        <w:t>side</w:t>
      </w:r>
      <w:proofErr w:type="spellEnd"/>
      <w:r w:rsidRPr="00940B65">
        <w:t xml:space="preserve"> jak i </w:t>
      </w:r>
      <w:proofErr w:type="spellStart"/>
      <w:r w:rsidRPr="00940B65">
        <w:t>server</w:t>
      </w:r>
      <w:proofErr w:type="spellEnd"/>
      <w:r w:rsidRPr="00940B65">
        <w:t xml:space="preserve"> </w:t>
      </w:r>
      <w:proofErr w:type="spellStart"/>
      <w:r w:rsidRPr="00940B65">
        <w:t>side</w:t>
      </w:r>
      <w:proofErr w:type="spellEnd"/>
      <w:r w:rsidRPr="00940B65">
        <w:t xml:space="preserve"> w ramach modułu IPS) dla ruchu Enterprise Traffic Mix - minimum </w:t>
      </w:r>
      <w:r w:rsidR="004242B7">
        <w:t>1,4</w:t>
      </w:r>
      <w:r w:rsidRPr="00940B65">
        <w:t xml:space="preserve"> Gbps.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 xml:space="preserve">Wydajność skanowania ruchu typu Enterprise Mix z włączonymi funkcjami: IPS, Application Control, Antywirus - minimum </w:t>
      </w:r>
      <w:r w:rsidR="004242B7">
        <w:t>1</w:t>
      </w:r>
      <w:r w:rsidRPr="00940B65">
        <w:t xml:space="preserve"> Gbps.</w:t>
      </w:r>
    </w:p>
    <w:p w:rsidR="006457B7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 xml:space="preserve">Wydajność systemu w zakresie inspekcji komunikacji szyfrowanej SSL dla ruchu http – </w:t>
      </w:r>
      <w:r w:rsidR="006457B7" w:rsidRPr="00940B65">
        <w:t xml:space="preserve">minimum </w:t>
      </w:r>
      <w:r w:rsidR="004242B7">
        <w:t>0,6</w:t>
      </w:r>
      <w:r w:rsidR="006457B7" w:rsidRPr="00940B65">
        <w:t xml:space="preserve"> Gbps.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>Automatyczna aktualizacja plików sygnatur antywirusowych.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>Skanowanie wszystkich plików skompresowanych (zip, tar, rar, gzip) z wieloma poziomami kompresji.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>Możliwość wsparcia IPS z poziomu urządzenia poprzez dodatkowe subskrypcje.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>Automatyczna aktualizacja sygnatur IPS.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>IPS musi dokonać analizy warstwy aplikacji, a także mieć możliwość ustawienia poziomu nasilenia ataku, który ma generować zdalne alarmy.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>Wsparcie dla wszystkich głównych protokołów: HTTP, FTP, SMTP, POP3.</w:t>
      </w:r>
    </w:p>
    <w:p w:rsidR="00E73451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 xml:space="preserve">Ilość interfejsów sieciowych: minimum </w:t>
      </w:r>
      <w:r w:rsidR="004242B7">
        <w:t>5</w:t>
      </w:r>
      <w:r w:rsidRPr="00940B65">
        <w:t xml:space="preserve"> port</w:t>
      </w:r>
      <w:r>
        <w:t>ów</w:t>
      </w:r>
      <w:r w:rsidRPr="00940B65">
        <w:t xml:space="preserve"> Gigabit Ethernet RJ-45</w:t>
      </w:r>
      <w:r w:rsidR="004242B7">
        <w:t>.</w:t>
      </w:r>
    </w:p>
    <w:p w:rsidR="006457B7" w:rsidRDefault="006457B7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>
        <w:t>Inne interfejsy: min. 1 port USB.</w:t>
      </w:r>
    </w:p>
    <w:p w:rsidR="006457B7" w:rsidRPr="00940B65" w:rsidRDefault="006457B7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>
        <w:t>Wbudowany fabrycznie dysk twardy SSD o pojemności min. 100 GB.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>Wsparcie VLAN: Musi posiadać minimum 200 sieci VLAN.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>Administracja urządzenia musi być możliwa poprzez graficzny interfejs zarządzania.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>W ramach dostarczonego systemu ochrony muszą być realizowane wszystkie poniższe funkcje. Mogą one być zrealizowane w postaci osobnych, komercyjnych platform sprzętowych lub programowych:</w:t>
      </w:r>
    </w:p>
    <w:p w:rsidR="00E73451" w:rsidRPr="00940B65" w:rsidRDefault="00E73451" w:rsidP="009E0B02">
      <w:pPr>
        <w:pStyle w:val="Akapitzlist"/>
        <w:numPr>
          <w:ilvl w:val="0"/>
          <w:numId w:val="43"/>
        </w:numPr>
        <w:spacing w:before="240" w:after="120" w:line="276" w:lineRule="auto"/>
        <w:ind w:left="1080" w:right="72"/>
        <w:jc w:val="both"/>
        <w:rPr>
          <w:color w:val="000000" w:themeColor="text1"/>
        </w:rPr>
      </w:pPr>
      <w:r w:rsidRPr="00940B65">
        <w:rPr>
          <w:color w:val="000000" w:themeColor="text1"/>
        </w:rPr>
        <w:t xml:space="preserve">Kontrola dostępu - zapora ogniowa klasy </w:t>
      </w:r>
      <w:proofErr w:type="spellStart"/>
      <w:r w:rsidRPr="00940B65">
        <w:rPr>
          <w:color w:val="000000" w:themeColor="text1"/>
        </w:rPr>
        <w:t>Stateful</w:t>
      </w:r>
      <w:proofErr w:type="spellEnd"/>
      <w:r w:rsidRPr="00940B65">
        <w:rPr>
          <w:color w:val="000000" w:themeColor="text1"/>
        </w:rPr>
        <w:t xml:space="preserve"> </w:t>
      </w:r>
      <w:proofErr w:type="spellStart"/>
      <w:r w:rsidRPr="00940B65">
        <w:rPr>
          <w:color w:val="000000" w:themeColor="text1"/>
        </w:rPr>
        <w:t>Inspection</w:t>
      </w:r>
      <w:proofErr w:type="spellEnd"/>
      <w:r w:rsidRPr="00940B65">
        <w:rPr>
          <w:color w:val="000000" w:themeColor="text1"/>
        </w:rPr>
        <w:t>.</w:t>
      </w:r>
    </w:p>
    <w:p w:rsidR="00E73451" w:rsidRPr="00940B65" w:rsidRDefault="00E73451" w:rsidP="009E0B02">
      <w:pPr>
        <w:pStyle w:val="Akapitzlist"/>
        <w:numPr>
          <w:ilvl w:val="0"/>
          <w:numId w:val="43"/>
        </w:numPr>
        <w:spacing w:before="240" w:after="120" w:line="276" w:lineRule="auto"/>
        <w:ind w:left="1080" w:right="72"/>
        <w:jc w:val="both"/>
        <w:rPr>
          <w:color w:val="000000" w:themeColor="text1"/>
        </w:rPr>
      </w:pPr>
      <w:r w:rsidRPr="00940B65">
        <w:rPr>
          <w:color w:val="000000" w:themeColor="text1"/>
        </w:rPr>
        <w:t xml:space="preserve">Kontrola Aplikacji. </w:t>
      </w:r>
    </w:p>
    <w:p w:rsidR="00E73451" w:rsidRPr="00940B65" w:rsidRDefault="00E73451" w:rsidP="009E0B02">
      <w:pPr>
        <w:pStyle w:val="Akapitzlist"/>
        <w:numPr>
          <w:ilvl w:val="0"/>
          <w:numId w:val="43"/>
        </w:numPr>
        <w:spacing w:before="240" w:after="120" w:line="276" w:lineRule="auto"/>
        <w:ind w:left="1080" w:right="72"/>
        <w:jc w:val="both"/>
        <w:rPr>
          <w:color w:val="000000" w:themeColor="text1"/>
        </w:rPr>
      </w:pPr>
      <w:r w:rsidRPr="00940B65">
        <w:rPr>
          <w:color w:val="000000" w:themeColor="text1"/>
        </w:rPr>
        <w:t>Poufność transmisji danych - połączenia szyfrowane IPSec VPN oraz SSL VPN.</w:t>
      </w:r>
    </w:p>
    <w:p w:rsidR="00E73451" w:rsidRPr="00940B65" w:rsidRDefault="00E73451" w:rsidP="009E0B02">
      <w:pPr>
        <w:pStyle w:val="Akapitzlist"/>
        <w:numPr>
          <w:ilvl w:val="0"/>
          <w:numId w:val="43"/>
        </w:numPr>
        <w:spacing w:before="240" w:after="120" w:line="276" w:lineRule="auto"/>
        <w:ind w:left="1080" w:right="72"/>
        <w:jc w:val="both"/>
        <w:rPr>
          <w:color w:val="000000" w:themeColor="text1"/>
        </w:rPr>
      </w:pPr>
      <w:r w:rsidRPr="00940B65">
        <w:rPr>
          <w:color w:val="000000" w:themeColor="text1"/>
        </w:rPr>
        <w:t>Ochrona przed malware – co najmniej dla protokołów SMTP, POP3, HTTP, FTP, HTTPS oparta o mechanizmy sztucznej inteligencji.</w:t>
      </w:r>
    </w:p>
    <w:p w:rsidR="00E73451" w:rsidRPr="00940B65" w:rsidRDefault="00E73451" w:rsidP="009E0B02">
      <w:pPr>
        <w:pStyle w:val="Akapitzlist"/>
        <w:numPr>
          <w:ilvl w:val="0"/>
          <w:numId w:val="43"/>
        </w:numPr>
        <w:spacing w:before="240" w:after="120" w:line="276" w:lineRule="auto"/>
        <w:ind w:left="1080" w:right="72"/>
        <w:jc w:val="both"/>
        <w:rPr>
          <w:color w:val="000000" w:themeColor="text1"/>
        </w:rPr>
      </w:pPr>
      <w:r w:rsidRPr="00940B65">
        <w:rPr>
          <w:color w:val="000000" w:themeColor="text1"/>
        </w:rPr>
        <w:t>Ochrona przed atakami - Intrusion Prevention System.</w:t>
      </w:r>
    </w:p>
    <w:p w:rsidR="00E73451" w:rsidRPr="00940B65" w:rsidRDefault="00E73451" w:rsidP="009E0B02">
      <w:pPr>
        <w:pStyle w:val="Akapitzlist"/>
        <w:numPr>
          <w:ilvl w:val="0"/>
          <w:numId w:val="43"/>
        </w:numPr>
        <w:spacing w:before="240" w:after="120" w:line="276" w:lineRule="auto"/>
        <w:ind w:left="1080" w:right="72"/>
        <w:jc w:val="both"/>
        <w:rPr>
          <w:color w:val="000000" w:themeColor="text1"/>
        </w:rPr>
      </w:pPr>
      <w:r w:rsidRPr="00940B65">
        <w:rPr>
          <w:color w:val="000000" w:themeColor="text1"/>
        </w:rPr>
        <w:t xml:space="preserve">Kontrola stron WWW. </w:t>
      </w:r>
    </w:p>
    <w:p w:rsidR="00E73451" w:rsidRPr="00940B65" w:rsidRDefault="00E73451" w:rsidP="009E0B02">
      <w:pPr>
        <w:pStyle w:val="Akapitzlist"/>
        <w:numPr>
          <w:ilvl w:val="0"/>
          <w:numId w:val="43"/>
        </w:numPr>
        <w:spacing w:before="240" w:after="120" w:line="276" w:lineRule="auto"/>
        <w:ind w:left="1080" w:right="72"/>
        <w:jc w:val="both"/>
        <w:rPr>
          <w:color w:val="000000" w:themeColor="text1"/>
        </w:rPr>
      </w:pPr>
      <w:r w:rsidRPr="00940B65">
        <w:rPr>
          <w:color w:val="000000" w:themeColor="text1"/>
        </w:rPr>
        <w:t>Kontrola zawartości poczty – Antyspam dla protokołów SMTP, POP3.</w:t>
      </w:r>
    </w:p>
    <w:p w:rsidR="00E73451" w:rsidRPr="00940B65" w:rsidRDefault="00E73451" w:rsidP="009E0B02">
      <w:pPr>
        <w:pStyle w:val="Akapitzlist"/>
        <w:numPr>
          <w:ilvl w:val="0"/>
          <w:numId w:val="43"/>
        </w:numPr>
        <w:spacing w:before="240" w:after="120" w:line="276" w:lineRule="auto"/>
        <w:ind w:left="1080" w:right="72"/>
        <w:jc w:val="both"/>
        <w:rPr>
          <w:color w:val="000000" w:themeColor="text1"/>
        </w:rPr>
      </w:pPr>
      <w:r w:rsidRPr="00940B65">
        <w:rPr>
          <w:color w:val="000000" w:themeColor="text1"/>
        </w:rPr>
        <w:lastRenderedPageBreak/>
        <w:t>Zarządzanie pasmem (QoS, Traffic shaping).</w:t>
      </w:r>
    </w:p>
    <w:p w:rsidR="00E73451" w:rsidRPr="00940B65" w:rsidRDefault="00E73451" w:rsidP="009E0B02">
      <w:pPr>
        <w:pStyle w:val="Akapitzlist"/>
        <w:numPr>
          <w:ilvl w:val="0"/>
          <w:numId w:val="43"/>
        </w:numPr>
        <w:spacing w:before="240" w:after="120" w:line="276" w:lineRule="auto"/>
        <w:ind w:left="1080" w:right="72"/>
        <w:jc w:val="both"/>
        <w:rPr>
          <w:color w:val="000000" w:themeColor="text1"/>
        </w:rPr>
      </w:pPr>
      <w:r w:rsidRPr="00940B65">
        <w:rPr>
          <w:color w:val="000000" w:themeColor="text1"/>
        </w:rPr>
        <w:t xml:space="preserve">Dwuskładnikowe uwierzytelnianie z wykorzystaniem </w:t>
      </w:r>
      <w:proofErr w:type="spellStart"/>
      <w:r w:rsidRPr="00940B65">
        <w:rPr>
          <w:color w:val="000000" w:themeColor="text1"/>
        </w:rPr>
        <w:t>tokenów</w:t>
      </w:r>
      <w:proofErr w:type="spellEnd"/>
      <w:r w:rsidRPr="00940B65">
        <w:rPr>
          <w:color w:val="000000" w:themeColor="text1"/>
        </w:rPr>
        <w:t xml:space="preserve"> sprzętowych lub programowych. W ramach postępowania powinny zostać dostarczone co najmniej 2 </w:t>
      </w:r>
      <w:proofErr w:type="spellStart"/>
      <w:r w:rsidRPr="00940B65">
        <w:rPr>
          <w:color w:val="000000" w:themeColor="text1"/>
        </w:rPr>
        <w:t>tokeny</w:t>
      </w:r>
      <w:proofErr w:type="spellEnd"/>
      <w:r w:rsidRPr="00940B65">
        <w:rPr>
          <w:color w:val="000000" w:themeColor="text1"/>
        </w:rPr>
        <w:t xml:space="preserve"> sprzętowe lub programowe, które będą zastosowane do dwuskładnikowego uwierzytelnienia administratorów lub w ramach połączeń VPN typu </w:t>
      </w:r>
      <w:proofErr w:type="spellStart"/>
      <w:r w:rsidRPr="00940B65">
        <w:rPr>
          <w:color w:val="000000" w:themeColor="text1"/>
        </w:rPr>
        <w:t>client-to-site</w:t>
      </w:r>
      <w:proofErr w:type="spellEnd"/>
      <w:r w:rsidRPr="00940B65">
        <w:rPr>
          <w:color w:val="000000" w:themeColor="text1"/>
        </w:rPr>
        <w:t>.</w:t>
      </w:r>
    </w:p>
    <w:p w:rsidR="00E73451" w:rsidRPr="00940B65" w:rsidRDefault="00E73451" w:rsidP="009E0B02">
      <w:pPr>
        <w:pStyle w:val="Akapitzlist"/>
        <w:numPr>
          <w:ilvl w:val="0"/>
          <w:numId w:val="43"/>
        </w:numPr>
        <w:spacing w:before="240" w:after="120" w:line="276" w:lineRule="auto"/>
        <w:ind w:left="1080" w:right="72"/>
        <w:jc w:val="both"/>
        <w:rPr>
          <w:color w:val="000000" w:themeColor="text1"/>
        </w:rPr>
      </w:pPr>
      <w:r w:rsidRPr="00940B65">
        <w:rPr>
          <w:color w:val="000000" w:themeColor="text1"/>
        </w:rPr>
        <w:t>Analiza ruchu szyfrowanego protokołem SSL.</w:t>
      </w:r>
    </w:p>
    <w:p w:rsidR="00E73451" w:rsidRPr="00940B65" w:rsidRDefault="00E73451" w:rsidP="009E0B02">
      <w:pPr>
        <w:pStyle w:val="Akapitzlist"/>
        <w:numPr>
          <w:ilvl w:val="0"/>
          <w:numId w:val="43"/>
        </w:numPr>
        <w:spacing w:before="240" w:after="120" w:line="276" w:lineRule="auto"/>
        <w:ind w:left="1080" w:right="72"/>
        <w:jc w:val="both"/>
        <w:rPr>
          <w:color w:val="000000" w:themeColor="text1"/>
        </w:rPr>
      </w:pPr>
      <w:r w:rsidRPr="00940B65">
        <w:rPr>
          <w:color w:val="000000" w:themeColor="text1"/>
        </w:rPr>
        <w:t>Analiza ruchu szyfrowanego protokołem SSH.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>Producent rozwiązania musi dostarczać oprogramowanie klienckie VPN, które umożliwia realizację połączeń IPSec VPN</w:t>
      </w:r>
      <w:r>
        <w:t>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>Zapewnienie obsługi Routingu statycznego, Policy Based Routingu, protokołów dynamicznego routingu w oparciu o protokoły: RIPv2, OSPF, BGP oraz PIM.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>System Firewall musi umożliwiać zarządzanie pasmem poprzez określenie: maksymalnej, gwarantowanej ilości pasma, oznaczanie DSCP oraz wskazanie priorytetu ruchu.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>Musi istnieć możliwość określania pasma dla poszczególnych aplikacji.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>System musi zapewniać możliwość zarządzania pasmem dla wybranych kategorii URL.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>Silnik antywirusowy musi umożliwiać skanowanie ruchu w obu kierunkach komunikacji dla protokołów działających na niestandardowych portach.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>System musi umożliwiać skanowanie archiwów, w tym co najmniej: zip, RAR.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>System musi dysponować sygnaturami do ochrony urządzeń mobilnych (co najmniej dla systemu operacyjnego Android).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 xml:space="preserve">System musi współpracować z dedykowaną platformą typu </w:t>
      </w:r>
      <w:proofErr w:type="spellStart"/>
      <w:r w:rsidRPr="00940B65">
        <w:t>Sandbox</w:t>
      </w:r>
      <w:proofErr w:type="spellEnd"/>
      <w:r w:rsidRPr="00940B65">
        <w:t xml:space="preserve"> lub usługą typu </w:t>
      </w:r>
      <w:proofErr w:type="spellStart"/>
      <w:r w:rsidRPr="00940B65">
        <w:t>Sandbox</w:t>
      </w:r>
      <w:proofErr w:type="spellEnd"/>
      <w:r w:rsidRPr="00940B65">
        <w:t xml:space="preserve"> realizowaną w chmurze. W ramach postępowania musi zostać dostarczona platforma typu </w:t>
      </w:r>
      <w:proofErr w:type="spellStart"/>
      <w:r w:rsidRPr="00940B65">
        <w:t>Sandbox</w:t>
      </w:r>
      <w:proofErr w:type="spellEnd"/>
      <w:r w:rsidRPr="00940B65">
        <w:t xml:space="preserve"> wraz z niezbędnymi serwisami lub licencja upoważniająca do korzystania z usługi typu </w:t>
      </w:r>
      <w:proofErr w:type="spellStart"/>
      <w:r w:rsidRPr="00940B65">
        <w:t>Sandbox</w:t>
      </w:r>
      <w:proofErr w:type="spellEnd"/>
      <w:r w:rsidRPr="00940B65">
        <w:t xml:space="preserve"> w chmurze.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>System musi umożliwiać usuwanie aktywnej zawartości plików PDF oraz Microsoft Office bez konieczności blokowania transferu całych plików.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>Ochrona IPS powinna opierać się co najmniej na analizie sygnaturowej oraz na analizie anomalii w protokołach sieciowych.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>System powinien chronić przed atakami na aplikacje pracujące na niestandardowych portach.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>System musi zapewniać wykrywanie anomalii protokołów i ruchu sieciowego, realizując tym samym podstawową ochronę przed atakami typu DoS oraz DDoS.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 xml:space="preserve">Wykrywanie i blokowanie komunikacji </w:t>
      </w:r>
      <w:proofErr w:type="spellStart"/>
      <w:r w:rsidRPr="00940B65">
        <w:t>C&amp;C</w:t>
      </w:r>
      <w:proofErr w:type="spellEnd"/>
      <w:r w:rsidRPr="00940B65">
        <w:t xml:space="preserve"> do sieci </w:t>
      </w:r>
      <w:proofErr w:type="spellStart"/>
      <w:r w:rsidRPr="00940B65">
        <w:t>botnet</w:t>
      </w:r>
      <w:proofErr w:type="spellEnd"/>
      <w:r w:rsidRPr="00940B65">
        <w:t>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>Administrator systemu musi mieć możliwość definiowania własnych wyjątków oraz własnych sygnatur.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>Rozwiązanie powinno umożliwiać wysyłanie alarmów przez SNMP lub e-mail.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>Urządzenie powinno mieć możliwość generowania raportów.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>Elementy systemu bezpieczeństwa muszą mieć możliwość zarządzania lokalnego z wykorzystaniem protokołów: HTTPS oraz SSH, jak i powinny mieć możliwość współpracy z dedykowanymi platformami centralnego zarządzania i monitorowania.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>Powinna istnieć możliwość włączenia mechanizmów uwierzytelniania dwuskładnikowego dla dostępu administracyjnego.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 xml:space="preserve">System musi współpracować z rozwiązaniami monitorowania poprzez protokoły SNMP w wersjach 2c, 3 oraz umożliwiać przekazywanie statystyk ruchu za pomocą protokołów </w:t>
      </w:r>
      <w:proofErr w:type="spellStart"/>
      <w:r w:rsidRPr="00940B65">
        <w:t>netflow</w:t>
      </w:r>
      <w:proofErr w:type="spellEnd"/>
      <w:r w:rsidRPr="00940B65">
        <w:t xml:space="preserve"> lub </w:t>
      </w:r>
      <w:proofErr w:type="spellStart"/>
      <w:r w:rsidRPr="00940B65">
        <w:t>sflow</w:t>
      </w:r>
      <w:proofErr w:type="spellEnd"/>
      <w:r w:rsidRPr="00940B65">
        <w:t>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lastRenderedPageBreak/>
        <w:t xml:space="preserve">Element systemu pełniący funkcję </w:t>
      </w:r>
      <w:proofErr w:type="spellStart"/>
      <w:r w:rsidRPr="00940B65">
        <w:t>Firewal</w:t>
      </w:r>
      <w:proofErr w:type="spellEnd"/>
      <w:r w:rsidRPr="00940B65">
        <w:t xml:space="preserve"> musi posiadać wbudowane narzędzia diagnostyczne, przynajmniej: ping, traceroute, podglądu pakietów, monitorowanie procesowania sesji oraz stanu sesji firewall.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>W ramach logowania system pełniący funkcję Firewall musi zapewniać przekazywanie danych o zaakceptowanym ruchu, ruchu blokowanym, aktywności administratorów, zużyciu zasobów oraz stanie pracy systemu. Musi być zapewniona możliwość jednoczesnego wysyłania logów do wielu serwerów logowania.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>Logowanie musi obejmować zdarzenia dotyczące wszystkich modułów sieciowych i bezpieczeństwa oferowanego systemu.</w:t>
      </w:r>
    </w:p>
    <w:p w:rsidR="00E73451" w:rsidRPr="000E795C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 xml:space="preserve">W ramach postępowania powinny zostać dostarczone licencje upoważniające do korzystania z aktualnych baz funkcji ochronnych producenta i serwisów. Powinny one obejmować następujące </w:t>
      </w:r>
      <w:r w:rsidRPr="000E795C">
        <w:t xml:space="preserve">elementy: Kontrola Aplikacji, IPS, Antywirus, </w:t>
      </w:r>
      <w:proofErr w:type="spellStart"/>
      <w:r w:rsidRPr="000E795C">
        <w:t>Antyspam</w:t>
      </w:r>
      <w:proofErr w:type="spellEnd"/>
      <w:r w:rsidRPr="000E795C">
        <w:t xml:space="preserve">, </w:t>
      </w:r>
      <w:proofErr w:type="spellStart"/>
      <w:r w:rsidRPr="000E795C">
        <w:t>Antymalware</w:t>
      </w:r>
      <w:proofErr w:type="spellEnd"/>
      <w:r w:rsidRPr="000E795C">
        <w:t xml:space="preserve">, Web </w:t>
      </w:r>
      <w:proofErr w:type="spellStart"/>
      <w:r w:rsidRPr="000E795C">
        <w:t>Filtering</w:t>
      </w:r>
      <w:proofErr w:type="spellEnd"/>
      <w:r w:rsidRPr="000E795C">
        <w:t xml:space="preserve"> w okresie do dnia </w:t>
      </w:r>
      <w:r>
        <w:rPr>
          <w:color w:val="000000" w:themeColor="text1"/>
        </w:rPr>
        <w:t>30</w:t>
      </w:r>
      <w:r w:rsidRPr="000E795C">
        <w:rPr>
          <w:color w:val="000000" w:themeColor="text1"/>
        </w:rPr>
        <w:t>.0</w:t>
      </w:r>
      <w:r w:rsidR="00BE012C">
        <w:rPr>
          <w:color w:val="000000" w:themeColor="text1"/>
        </w:rPr>
        <w:t>9</w:t>
      </w:r>
      <w:r w:rsidRPr="000E795C">
        <w:rPr>
          <w:color w:val="000000" w:themeColor="text1"/>
        </w:rPr>
        <w:t>.2026 r.</w:t>
      </w:r>
    </w:p>
    <w:p w:rsidR="00E73451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0E795C">
        <w:t xml:space="preserve">Gwarancja producenta do dnia </w:t>
      </w:r>
      <w:r>
        <w:rPr>
          <w:color w:val="000000" w:themeColor="text1"/>
        </w:rPr>
        <w:t>30</w:t>
      </w:r>
      <w:r w:rsidRPr="000E795C">
        <w:rPr>
          <w:color w:val="000000" w:themeColor="text1"/>
        </w:rPr>
        <w:t>.0</w:t>
      </w:r>
      <w:r w:rsidR="00BE012C">
        <w:rPr>
          <w:color w:val="000000" w:themeColor="text1"/>
        </w:rPr>
        <w:t>9</w:t>
      </w:r>
      <w:r w:rsidRPr="000E795C">
        <w:rPr>
          <w:color w:val="000000" w:themeColor="text1"/>
        </w:rPr>
        <w:t xml:space="preserve">.2026 r. </w:t>
      </w:r>
      <w:r w:rsidRPr="000E795C">
        <w:t>Gwarancja</w:t>
      </w:r>
      <w:r w:rsidRPr="00940B65">
        <w:t xml:space="preserve"> powinna obejmować również możliwość wymiany urządzenia na nowe w przypadku wady urządzenia UTM.</w:t>
      </w:r>
    </w:p>
    <w:sectPr w:rsidR="00E73451" w:rsidSect="00710A67">
      <w:footerReference w:type="default" r:id="rId9"/>
      <w:headerReference w:type="first" r:id="rId10"/>
      <w:footerReference w:type="first" r:id="rId11"/>
      <w:pgSz w:w="11906" w:h="16838"/>
      <w:pgMar w:top="1135" w:right="1417" w:bottom="1417" w:left="1417" w:header="340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4FAA" w:rsidRDefault="00204FAA" w:rsidP="00C145D9">
      <w:pPr>
        <w:spacing w:after="0" w:line="240" w:lineRule="auto"/>
      </w:pPr>
      <w:r>
        <w:separator/>
      </w:r>
    </w:p>
  </w:endnote>
  <w:endnote w:type="continuationSeparator" w:id="0">
    <w:p w:rsidR="00204FAA" w:rsidRDefault="00204FAA" w:rsidP="00C14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6818405"/>
      <w:docPartObj>
        <w:docPartGallery w:val="Page Numbers (Bottom of Page)"/>
        <w:docPartUnique/>
      </w:docPartObj>
    </w:sdtPr>
    <w:sdtContent>
      <w:p w:rsidR="003C5497" w:rsidRDefault="003E38AD">
        <w:pPr>
          <w:pStyle w:val="Stopka"/>
          <w:jc w:val="right"/>
        </w:pPr>
        <w:r>
          <w:fldChar w:fldCharType="begin"/>
        </w:r>
        <w:r w:rsidR="003C5497">
          <w:instrText>PAGE   \* MERGEFORMAT</w:instrText>
        </w:r>
        <w:r>
          <w:fldChar w:fldCharType="separate"/>
        </w:r>
        <w:r w:rsidR="002E73E6">
          <w:rPr>
            <w:noProof/>
          </w:rPr>
          <w:t>14</w:t>
        </w:r>
        <w:r>
          <w:fldChar w:fldCharType="end"/>
        </w:r>
      </w:p>
    </w:sdtContent>
  </w:sdt>
  <w:p w:rsidR="003C5497" w:rsidRDefault="003C5497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497" w:rsidRDefault="003C5497">
    <w:pPr>
      <w:pStyle w:val="Stopka"/>
    </w:pPr>
    <w:r w:rsidRPr="00374948"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1431925</wp:posOffset>
          </wp:positionH>
          <wp:positionV relativeFrom="paragraph">
            <wp:posOffset>-120015</wp:posOffset>
          </wp:positionV>
          <wp:extent cx="2849880" cy="511175"/>
          <wp:effectExtent l="0" t="0" r="7620" b="3175"/>
          <wp:wrapSquare wrapText="bothSides"/>
          <wp:docPr id="1920986927" name="Obraz 1" descr="Obraz zawierający Czcionka, logo, symbol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986927" name="Obraz 1" descr="Obraz zawierający Czcionka, logo, symbol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9880" cy="511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4FAA" w:rsidRDefault="00204FAA" w:rsidP="00C145D9">
      <w:pPr>
        <w:spacing w:after="0" w:line="240" w:lineRule="auto"/>
      </w:pPr>
      <w:r>
        <w:separator/>
      </w:r>
    </w:p>
  </w:footnote>
  <w:footnote w:type="continuationSeparator" w:id="0">
    <w:p w:rsidR="00204FAA" w:rsidRDefault="00204FAA" w:rsidP="00C145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497" w:rsidRDefault="003C5497" w:rsidP="0016048D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-403860</wp:posOffset>
          </wp:positionH>
          <wp:positionV relativeFrom="paragraph">
            <wp:posOffset>-53975</wp:posOffset>
          </wp:positionV>
          <wp:extent cx="6538203" cy="678180"/>
          <wp:effectExtent l="0" t="0" r="0" b="7620"/>
          <wp:wrapNone/>
          <wp:docPr id="8594922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8203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91E61"/>
    <w:multiLevelType w:val="multilevel"/>
    <w:tmpl w:val="BB16E9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2FF16EB"/>
    <w:multiLevelType w:val="multilevel"/>
    <w:tmpl w:val="BB16E9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419655C"/>
    <w:multiLevelType w:val="multilevel"/>
    <w:tmpl w:val="BB16E9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B3222BD"/>
    <w:multiLevelType w:val="multilevel"/>
    <w:tmpl w:val="9C0049A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>
    <w:nsid w:val="0B7B251D"/>
    <w:multiLevelType w:val="multilevel"/>
    <w:tmpl w:val="9C0049A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">
    <w:nsid w:val="0C363235"/>
    <w:multiLevelType w:val="hybridMultilevel"/>
    <w:tmpl w:val="BE8A32D4"/>
    <w:lvl w:ilvl="0" w:tplc="FFFFFFFF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C5B32F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3746AC6"/>
    <w:multiLevelType w:val="multilevel"/>
    <w:tmpl w:val="9C0049A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">
    <w:nsid w:val="16D172C1"/>
    <w:multiLevelType w:val="hybridMultilevel"/>
    <w:tmpl w:val="A5EE050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3151"/>
    <w:multiLevelType w:val="hybridMultilevel"/>
    <w:tmpl w:val="BE8A32D4"/>
    <w:lvl w:ilvl="0" w:tplc="FFFFFFFF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0504F1E"/>
    <w:multiLevelType w:val="multilevel"/>
    <w:tmpl w:val="BB16E9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0FD543A"/>
    <w:multiLevelType w:val="multilevel"/>
    <w:tmpl w:val="AD062B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9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2C804A2"/>
    <w:multiLevelType w:val="hybridMultilevel"/>
    <w:tmpl w:val="C07277F8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0D751D"/>
    <w:multiLevelType w:val="hybridMultilevel"/>
    <w:tmpl w:val="BE8A32D4"/>
    <w:lvl w:ilvl="0" w:tplc="FFFFFFFF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8EB7B7A"/>
    <w:multiLevelType w:val="hybridMultilevel"/>
    <w:tmpl w:val="AED6B810"/>
    <w:lvl w:ilvl="0" w:tplc="0415001B">
      <w:start w:val="1"/>
      <w:numFmt w:val="lowerRoman"/>
      <w:lvlText w:val="%1."/>
      <w:lvlJc w:val="right"/>
      <w:pPr>
        <w:ind w:left="1800" w:hanging="18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9044E2"/>
    <w:multiLevelType w:val="hybridMultilevel"/>
    <w:tmpl w:val="B726A3D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B3E050F"/>
    <w:multiLevelType w:val="multilevel"/>
    <w:tmpl w:val="BB16E9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53F527D"/>
    <w:multiLevelType w:val="multilevel"/>
    <w:tmpl w:val="5D46AE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9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6B12E05"/>
    <w:multiLevelType w:val="multilevel"/>
    <w:tmpl w:val="BB16E9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8DA1E1B"/>
    <w:multiLevelType w:val="multilevel"/>
    <w:tmpl w:val="9C0049A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0">
    <w:nsid w:val="4E6535D4"/>
    <w:multiLevelType w:val="multilevel"/>
    <w:tmpl w:val="BB16E9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42604B7"/>
    <w:multiLevelType w:val="hybridMultilevel"/>
    <w:tmpl w:val="BE8A32D4"/>
    <w:lvl w:ilvl="0" w:tplc="FFFFFFFF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8C41E89"/>
    <w:multiLevelType w:val="multilevel"/>
    <w:tmpl w:val="36DAC5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5BB73FBA"/>
    <w:multiLevelType w:val="multilevel"/>
    <w:tmpl w:val="BB16E9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5BC015C4"/>
    <w:multiLevelType w:val="hybridMultilevel"/>
    <w:tmpl w:val="9BB2943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BD96DDF"/>
    <w:multiLevelType w:val="multilevel"/>
    <w:tmpl w:val="BB16E9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641419DA"/>
    <w:multiLevelType w:val="multilevel"/>
    <w:tmpl w:val="9C0049A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7">
    <w:nsid w:val="646A708E"/>
    <w:multiLevelType w:val="multilevel"/>
    <w:tmpl w:val="BB16E9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65471919"/>
    <w:multiLevelType w:val="multilevel"/>
    <w:tmpl w:val="9C0049A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9">
    <w:nsid w:val="654E28AA"/>
    <w:multiLevelType w:val="multilevel"/>
    <w:tmpl w:val="BB16E9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686B1373"/>
    <w:multiLevelType w:val="hybridMultilevel"/>
    <w:tmpl w:val="FAAE86D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C2B7B22"/>
    <w:multiLevelType w:val="multilevel"/>
    <w:tmpl w:val="5B5688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6F961236"/>
    <w:multiLevelType w:val="multilevel"/>
    <w:tmpl w:val="BB16E9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71C137A2"/>
    <w:multiLevelType w:val="multilevel"/>
    <w:tmpl w:val="BB16E9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38037B3"/>
    <w:multiLevelType w:val="hybridMultilevel"/>
    <w:tmpl w:val="FAAE86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6736A9F"/>
    <w:multiLevelType w:val="hybridMultilevel"/>
    <w:tmpl w:val="9BB2943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6F60FC9"/>
    <w:multiLevelType w:val="hybridMultilevel"/>
    <w:tmpl w:val="A5EE050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72F0FB4"/>
    <w:multiLevelType w:val="hybridMultilevel"/>
    <w:tmpl w:val="A5EE050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7EE316F"/>
    <w:multiLevelType w:val="multilevel"/>
    <w:tmpl w:val="BB16E9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79D400F7"/>
    <w:multiLevelType w:val="hybridMultilevel"/>
    <w:tmpl w:val="BE8A32D4"/>
    <w:lvl w:ilvl="0" w:tplc="FFFFFFFF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A4574A3"/>
    <w:multiLevelType w:val="multilevel"/>
    <w:tmpl w:val="BB16E9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7C10376C"/>
    <w:multiLevelType w:val="multilevel"/>
    <w:tmpl w:val="BB16E9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7C7B40AB"/>
    <w:multiLevelType w:val="multilevel"/>
    <w:tmpl w:val="BB16E9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36"/>
  </w:num>
  <w:num w:numId="3">
    <w:abstractNumId w:val="7"/>
  </w:num>
  <w:num w:numId="4">
    <w:abstractNumId w:val="21"/>
  </w:num>
  <w:num w:numId="5">
    <w:abstractNumId w:val="9"/>
  </w:num>
  <w:num w:numId="6">
    <w:abstractNumId w:val="26"/>
  </w:num>
  <w:num w:numId="7">
    <w:abstractNumId w:val="24"/>
  </w:num>
  <w:num w:numId="8">
    <w:abstractNumId w:val="18"/>
  </w:num>
  <w:num w:numId="9">
    <w:abstractNumId w:val="10"/>
  </w:num>
  <w:num w:numId="10">
    <w:abstractNumId w:val="27"/>
  </w:num>
  <w:num w:numId="11">
    <w:abstractNumId w:val="23"/>
  </w:num>
  <w:num w:numId="12">
    <w:abstractNumId w:val="1"/>
  </w:num>
  <w:num w:numId="13">
    <w:abstractNumId w:val="2"/>
  </w:num>
  <w:num w:numId="14">
    <w:abstractNumId w:val="41"/>
  </w:num>
  <w:num w:numId="15">
    <w:abstractNumId w:val="40"/>
  </w:num>
  <w:num w:numId="16">
    <w:abstractNumId w:val="32"/>
  </w:num>
  <w:num w:numId="17">
    <w:abstractNumId w:val="42"/>
  </w:num>
  <w:num w:numId="18">
    <w:abstractNumId w:val="29"/>
  </w:num>
  <w:num w:numId="19">
    <w:abstractNumId w:val="16"/>
  </w:num>
  <w:num w:numId="20">
    <w:abstractNumId w:val="20"/>
  </w:num>
  <w:num w:numId="21">
    <w:abstractNumId w:val="0"/>
  </w:num>
  <w:num w:numId="22">
    <w:abstractNumId w:val="33"/>
  </w:num>
  <w:num w:numId="23">
    <w:abstractNumId w:val="38"/>
  </w:num>
  <w:num w:numId="24">
    <w:abstractNumId w:val="25"/>
  </w:num>
  <w:num w:numId="25">
    <w:abstractNumId w:val="34"/>
  </w:num>
  <w:num w:numId="26">
    <w:abstractNumId w:val="17"/>
  </w:num>
  <w:num w:numId="27">
    <w:abstractNumId w:val="35"/>
  </w:num>
  <w:num w:numId="28">
    <w:abstractNumId w:val="19"/>
  </w:num>
  <w:num w:numId="29">
    <w:abstractNumId w:val="13"/>
  </w:num>
  <w:num w:numId="30">
    <w:abstractNumId w:val="4"/>
  </w:num>
  <w:num w:numId="31">
    <w:abstractNumId w:val="5"/>
  </w:num>
  <w:num w:numId="32">
    <w:abstractNumId w:val="39"/>
  </w:num>
  <w:num w:numId="33">
    <w:abstractNumId w:val="28"/>
  </w:num>
  <w:num w:numId="34">
    <w:abstractNumId w:val="15"/>
  </w:num>
  <w:num w:numId="35">
    <w:abstractNumId w:val="14"/>
  </w:num>
  <w:num w:numId="36">
    <w:abstractNumId w:val="22"/>
  </w:num>
  <w:num w:numId="37">
    <w:abstractNumId w:val="30"/>
  </w:num>
  <w:num w:numId="3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"/>
  </w:num>
  <w:num w:numId="41">
    <w:abstractNumId w:val="11"/>
  </w:num>
  <w:num w:numId="42">
    <w:abstractNumId w:val="31"/>
  </w:num>
  <w:num w:numId="43">
    <w:abstractNumId w:val="12"/>
  </w:num>
  <w:numIdMacAtCleanup w:val="4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C267E0"/>
    <w:rsid w:val="00000785"/>
    <w:rsid w:val="00001EB0"/>
    <w:rsid w:val="00003C27"/>
    <w:rsid w:val="00003E23"/>
    <w:rsid w:val="000045FB"/>
    <w:rsid w:val="00010115"/>
    <w:rsid w:val="00010B3D"/>
    <w:rsid w:val="00012676"/>
    <w:rsid w:val="00013378"/>
    <w:rsid w:val="000161E5"/>
    <w:rsid w:val="000173E5"/>
    <w:rsid w:val="0002122A"/>
    <w:rsid w:val="00021EA3"/>
    <w:rsid w:val="00023C97"/>
    <w:rsid w:val="00024790"/>
    <w:rsid w:val="00026A76"/>
    <w:rsid w:val="000301D6"/>
    <w:rsid w:val="0003458C"/>
    <w:rsid w:val="000359CF"/>
    <w:rsid w:val="000428B1"/>
    <w:rsid w:val="00044309"/>
    <w:rsid w:val="00045DE6"/>
    <w:rsid w:val="000462C4"/>
    <w:rsid w:val="00046E35"/>
    <w:rsid w:val="00047D27"/>
    <w:rsid w:val="0005176A"/>
    <w:rsid w:val="00051B89"/>
    <w:rsid w:val="00053A47"/>
    <w:rsid w:val="00054443"/>
    <w:rsid w:val="00054A16"/>
    <w:rsid w:val="00061243"/>
    <w:rsid w:val="000617BB"/>
    <w:rsid w:val="00062C37"/>
    <w:rsid w:val="00063F79"/>
    <w:rsid w:val="00065ED4"/>
    <w:rsid w:val="000661D7"/>
    <w:rsid w:val="00066D7A"/>
    <w:rsid w:val="0006763C"/>
    <w:rsid w:val="00067C53"/>
    <w:rsid w:val="00067DFB"/>
    <w:rsid w:val="0007170C"/>
    <w:rsid w:val="00075331"/>
    <w:rsid w:val="00075671"/>
    <w:rsid w:val="000761F9"/>
    <w:rsid w:val="00077BE6"/>
    <w:rsid w:val="00077CD3"/>
    <w:rsid w:val="00080CC5"/>
    <w:rsid w:val="00080FA2"/>
    <w:rsid w:val="00081293"/>
    <w:rsid w:val="00082FF6"/>
    <w:rsid w:val="00084004"/>
    <w:rsid w:val="00087E50"/>
    <w:rsid w:val="0009000B"/>
    <w:rsid w:val="00094B2E"/>
    <w:rsid w:val="00095FFA"/>
    <w:rsid w:val="00096D7A"/>
    <w:rsid w:val="00097AF8"/>
    <w:rsid w:val="000A09CA"/>
    <w:rsid w:val="000A0E1D"/>
    <w:rsid w:val="000A2197"/>
    <w:rsid w:val="000A32A5"/>
    <w:rsid w:val="000A396A"/>
    <w:rsid w:val="000A50DD"/>
    <w:rsid w:val="000A6489"/>
    <w:rsid w:val="000A70D6"/>
    <w:rsid w:val="000B18A1"/>
    <w:rsid w:val="000B1E22"/>
    <w:rsid w:val="000B213B"/>
    <w:rsid w:val="000B7DFA"/>
    <w:rsid w:val="000C5ABA"/>
    <w:rsid w:val="000C5E76"/>
    <w:rsid w:val="000C729D"/>
    <w:rsid w:val="000C7B9C"/>
    <w:rsid w:val="000D194B"/>
    <w:rsid w:val="000D226D"/>
    <w:rsid w:val="000D362E"/>
    <w:rsid w:val="000D38B7"/>
    <w:rsid w:val="000D3B9B"/>
    <w:rsid w:val="000D583C"/>
    <w:rsid w:val="000D7525"/>
    <w:rsid w:val="000D7B90"/>
    <w:rsid w:val="000E0203"/>
    <w:rsid w:val="000E0234"/>
    <w:rsid w:val="000E0759"/>
    <w:rsid w:val="000E4B27"/>
    <w:rsid w:val="000E4FA4"/>
    <w:rsid w:val="000F1009"/>
    <w:rsid w:val="000F2E73"/>
    <w:rsid w:val="000F5A39"/>
    <w:rsid w:val="000F5A99"/>
    <w:rsid w:val="000F6678"/>
    <w:rsid w:val="000F6B70"/>
    <w:rsid w:val="00100A7B"/>
    <w:rsid w:val="001014F0"/>
    <w:rsid w:val="0010357C"/>
    <w:rsid w:val="00106B10"/>
    <w:rsid w:val="00106EF2"/>
    <w:rsid w:val="001117F0"/>
    <w:rsid w:val="0011203B"/>
    <w:rsid w:val="00113E4F"/>
    <w:rsid w:val="00116032"/>
    <w:rsid w:val="00120A44"/>
    <w:rsid w:val="0012434D"/>
    <w:rsid w:val="00151E74"/>
    <w:rsid w:val="001527D5"/>
    <w:rsid w:val="00152B04"/>
    <w:rsid w:val="00153523"/>
    <w:rsid w:val="001550B3"/>
    <w:rsid w:val="001554D0"/>
    <w:rsid w:val="0015690A"/>
    <w:rsid w:val="0016048D"/>
    <w:rsid w:val="001614AC"/>
    <w:rsid w:val="0016221D"/>
    <w:rsid w:val="001670E0"/>
    <w:rsid w:val="00167370"/>
    <w:rsid w:val="001678AA"/>
    <w:rsid w:val="00170B6A"/>
    <w:rsid w:val="00170DAE"/>
    <w:rsid w:val="00175275"/>
    <w:rsid w:val="0018224D"/>
    <w:rsid w:val="00184FBD"/>
    <w:rsid w:val="0018767C"/>
    <w:rsid w:val="00191D85"/>
    <w:rsid w:val="00193E7D"/>
    <w:rsid w:val="00196249"/>
    <w:rsid w:val="00196844"/>
    <w:rsid w:val="001A3C89"/>
    <w:rsid w:val="001B0DBC"/>
    <w:rsid w:val="001B12DB"/>
    <w:rsid w:val="001B3488"/>
    <w:rsid w:val="001B3764"/>
    <w:rsid w:val="001B412A"/>
    <w:rsid w:val="001B54AB"/>
    <w:rsid w:val="001B689F"/>
    <w:rsid w:val="001B6D1A"/>
    <w:rsid w:val="001C095D"/>
    <w:rsid w:val="001C20C5"/>
    <w:rsid w:val="001C3088"/>
    <w:rsid w:val="001C5215"/>
    <w:rsid w:val="001D0F8D"/>
    <w:rsid w:val="001D4538"/>
    <w:rsid w:val="001D455F"/>
    <w:rsid w:val="001D6958"/>
    <w:rsid w:val="001D7B10"/>
    <w:rsid w:val="001E08C5"/>
    <w:rsid w:val="001E1CB8"/>
    <w:rsid w:val="001E4497"/>
    <w:rsid w:val="001E66F8"/>
    <w:rsid w:val="001E702A"/>
    <w:rsid w:val="001E75B8"/>
    <w:rsid w:val="001F033F"/>
    <w:rsid w:val="001F2CB2"/>
    <w:rsid w:val="001F5ADA"/>
    <w:rsid w:val="001F6BDA"/>
    <w:rsid w:val="001F7A26"/>
    <w:rsid w:val="00201108"/>
    <w:rsid w:val="002017D5"/>
    <w:rsid w:val="00201DBE"/>
    <w:rsid w:val="0020297C"/>
    <w:rsid w:val="00204FAA"/>
    <w:rsid w:val="00206B38"/>
    <w:rsid w:val="00207D11"/>
    <w:rsid w:val="00214330"/>
    <w:rsid w:val="002151C6"/>
    <w:rsid w:val="00216D2E"/>
    <w:rsid w:val="00220ED3"/>
    <w:rsid w:val="002222F9"/>
    <w:rsid w:val="0022629C"/>
    <w:rsid w:val="00227DCD"/>
    <w:rsid w:val="00230FEF"/>
    <w:rsid w:val="00231910"/>
    <w:rsid w:val="002321C7"/>
    <w:rsid w:val="00235544"/>
    <w:rsid w:val="002359F2"/>
    <w:rsid w:val="00235A0D"/>
    <w:rsid w:val="00237E3E"/>
    <w:rsid w:val="00240ACD"/>
    <w:rsid w:val="0024699A"/>
    <w:rsid w:val="0025030E"/>
    <w:rsid w:val="00251231"/>
    <w:rsid w:val="002528A6"/>
    <w:rsid w:val="002528B2"/>
    <w:rsid w:val="00253748"/>
    <w:rsid w:val="00254339"/>
    <w:rsid w:val="00255CF1"/>
    <w:rsid w:val="002560E1"/>
    <w:rsid w:val="00256885"/>
    <w:rsid w:val="002608F6"/>
    <w:rsid w:val="002631CC"/>
    <w:rsid w:val="00265F85"/>
    <w:rsid w:val="0026741E"/>
    <w:rsid w:val="0027315D"/>
    <w:rsid w:val="00280C65"/>
    <w:rsid w:val="002853C4"/>
    <w:rsid w:val="00286A33"/>
    <w:rsid w:val="00286B24"/>
    <w:rsid w:val="002874D7"/>
    <w:rsid w:val="00291AF4"/>
    <w:rsid w:val="002921E4"/>
    <w:rsid w:val="002952B7"/>
    <w:rsid w:val="00297E81"/>
    <w:rsid w:val="002A11BE"/>
    <w:rsid w:val="002A340E"/>
    <w:rsid w:val="002A5EA8"/>
    <w:rsid w:val="002A5EE6"/>
    <w:rsid w:val="002A6A6B"/>
    <w:rsid w:val="002A75FC"/>
    <w:rsid w:val="002B1D62"/>
    <w:rsid w:val="002B3938"/>
    <w:rsid w:val="002B5394"/>
    <w:rsid w:val="002B5B69"/>
    <w:rsid w:val="002B5E59"/>
    <w:rsid w:val="002B77C9"/>
    <w:rsid w:val="002C0B64"/>
    <w:rsid w:val="002C2820"/>
    <w:rsid w:val="002C296F"/>
    <w:rsid w:val="002C3B13"/>
    <w:rsid w:val="002C77F5"/>
    <w:rsid w:val="002D0307"/>
    <w:rsid w:val="002D27AE"/>
    <w:rsid w:val="002D71F8"/>
    <w:rsid w:val="002D76B2"/>
    <w:rsid w:val="002E021F"/>
    <w:rsid w:val="002E2A9E"/>
    <w:rsid w:val="002E31BD"/>
    <w:rsid w:val="002E3925"/>
    <w:rsid w:val="002E4758"/>
    <w:rsid w:val="002E732E"/>
    <w:rsid w:val="002E73E6"/>
    <w:rsid w:val="002F3E45"/>
    <w:rsid w:val="002F44E6"/>
    <w:rsid w:val="002F4D95"/>
    <w:rsid w:val="002F7A1A"/>
    <w:rsid w:val="00300E37"/>
    <w:rsid w:val="003024C1"/>
    <w:rsid w:val="003035FD"/>
    <w:rsid w:val="0031025B"/>
    <w:rsid w:val="0031060C"/>
    <w:rsid w:val="00310D22"/>
    <w:rsid w:val="00313EA8"/>
    <w:rsid w:val="00317A9B"/>
    <w:rsid w:val="00317AF1"/>
    <w:rsid w:val="00320E35"/>
    <w:rsid w:val="00322AFD"/>
    <w:rsid w:val="00324EF9"/>
    <w:rsid w:val="00325637"/>
    <w:rsid w:val="00325DD0"/>
    <w:rsid w:val="00326E13"/>
    <w:rsid w:val="003300F4"/>
    <w:rsid w:val="0033175B"/>
    <w:rsid w:val="00332621"/>
    <w:rsid w:val="00333DDF"/>
    <w:rsid w:val="0033454F"/>
    <w:rsid w:val="00334C14"/>
    <w:rsid w:val="0033561D"/>
    <w:rsid w:val="00335B23"/>
    <w:rsid w:val="00335F42"/>
    <w:rsid w:val="00337FB9"/>
    <w:rsid w:val="003401A5"/>
    <w:rsid w:val="00342F66"/>
    <w:rsid w:val="00343C9E"/>
    <w:rsid w:val="00345BBE"/>
    <w:rsid w:val="00347861"/>
    <w:rsid w:val="00353560"/>
    <w:rsid w:val="00355047"/>
    <w:rsid w:val="003556EF"/>
    <w:rsid w:val="003601A4"/>
    <w:rsid w:val="00361C88"/>
    <w:rsid w:val="00364044"/>
    <w:rsid w:val="00366083"/>
    <w:rsid w:val="00367782"/>
    <w:rsid w:val="00373749"/>
    <w:rsid w:val="00374D09"/>
    <w:rsid w:val="00382D6B"/>
    <w:rsid w:val="0038501E"/>
    <w:rsid w:val="003859C6"/>
    <w:rsid w:val="003922D1"/>
    <w:rsid w:val="003938FC"/>
    <w:rsid w:val="003952DB"/>
    <w:rsid w:val="003956B0"/>
    <w:rsid w:val="003964C9"/>
    <w:rsid w:val="00397668"/>
    <w:rsid w:val="003A15CD"/>
    <w:rsid w:val="003A1FC0"/>
    <w:rsid w:val="003A3E4D"/>
    <w:rsid w:val="003A7C6B"/>
    <w:rsid w:val="003B0FDE"/>
    <w:rsid w:val="003B22B7"/>
    <w:rsid w:val="003B241D"/>
    <w:rsid w:val="003B456C"/>
    <w:rsid w:val="003B4FA6"/>
    <w:rsid w:val="003B6254"/>
    <w:rsid w:val="003C2834"/>
    <w:rsid w:val="003C3153"/>
    <w:rsid w:val="003C37D4"/>
    <w:rsid w:val="003C5497"/>
    <w:rsid w:val="003C5770"/>
    <w:rsid w:val="003C7401"/>
    <w:rsid w:val="003D0DB1"/>
    <w:rsid w:val="003D15A3"/>
    <w:rsid w:val="003D4EE8"/>
    <w:rsid w:val="003E0B8B"/>
    <w:rsid w:val="003E28EE"/>
    <w:rsid w:val="003E38AD"/>
    <w:rsid w:val="003E5A68"/>
    <w:rsid w:val="003E5E27"/>
    <w:rsid w:val="003E6952"/>
    <w:rsid w:val="003E7E8F"/>
    <w:rsid w:val="003F085A"/>
    <w:rsid w:val="003F0EA6"/>
    <w:rsid w:val="003F1130"/>
    <w:rsid w:val="003F34C4"/>
    <w:rsid w:val="003F361F"/>
    <w:rsid w:val="003F500B"/>
    <w:rsid w:val="003F642D"/>
    <w:rsid w:val="003F64CB"/>
    <w:rsid w:val="003F6591"/>
    <w:rsid w:val="003F7670"/>
    <w:rsid w:val="00400D17"/>
    <w:rsid w:val="0040139E"/>
    <w:rsid w:val="00402780"/>
    <w:rsid w:val="00405868"/>
    <w:rsid w:val="004117A7"/>
    <w:rsid w:val="004143B3"/>
    <w:rsid w:val="00414B7C"/>
    <w:rsid w:val="00416C22"/>
    <w:rsid w:val="00420907"/>
    <w:rsid w:val="004212F5"/>
    <w:rsid w:val="00422735"/>
    <w:rsid w:val="00422B2C"/>
    <w:rsid w:val="00422E49"/>
    <w:rsid w:val="004242B7"/>
    <w:rsid w:val="00425BF4"/>
    <w:rsid w:val="004301A4"/>
    <w:rsid w:val="00435C00"/>
    <w:rsid w:val="004409EE"/>
    <w:rsid w:val="0044138D"/>
    <w:rsid w:val="00442C07"/>
    <w:rsid w:val="00443C34"/>
    <w:rsid w:val="00446577"/>
    <w:rsid w:val="004510E3"/>
    <w:rsid w:val="00451909"/>
    <w:rsid w:val="00452381"/>
    <w:rsid w:val="004540E2"/>
    <w:rsid w:val="00456429"/>
    <w:rsid w:val="004579D5"/>
    <w:rsid w:val="00462B77"/>
    <w:rsid w:val="004663EF"/>
    <w:rsid w:val="00474ECF"/>
    <w:rsid w:val="0047643A"/>
    <w:rsid w:val="00480586"/>
    <w:rsid w:val="00480CE5"/>
    <w:rsid w:val="00481835"/>
    <w:rsid w:val="0048296A"/>
    <w:rsid w:val="004840B2"/>
    <w:rsid w:val="004859C6"/>
    <w:rsid w:val="00486C16"/>
    <w:rsid w:val="00486C40"/>
    <w:rsid w:val="00486C86"/>
    <w:rsid w:val="004876B1"/>
    <w:rsid w:val="00487D05"/>
    <w:rsid w:val="00490E27"/>
    <w:rsid w:val="00491901"/>
    <w:rsid w:val="00491BD9"/>
    <w:rsid w:val="00494949"/>
    <w:rsid w:val="004A0FE8"/>
    <w:rsid w:val="004A1FF7"/>
    <w:rsid w:val="004A3723"/>
    <w:rsid w:val="004A4685"/>
    <w:rsid w:val="004C1859"/>
    <w:rsid w:val="004C1958"/>
    <w:rsid w:val="004C32E1"/>
    <w:rsid w:val="004C3A56"/>
    <w:rsid w:val="004C3B3C"/>
    <w:rsid w:val="004C418B"/>
    <w:rsid w:val="004C433B"/>
    <w:rsid w:val="004C4CDA"/>
    <w:rsid w:val="004C7780"/>
    <w:rsid w:val="004D0E67"/>
    <w:rsid w:val="004D1B42"/>
    <w:rsid w:val="004D3D8D"/>
    <w:rsid w:val="004D4C39"/>
    <w:rsid w:val="004D7822"/>
    <w:rsid w:val="004E2EE6"/>
    <w:rsid w:val="004E3A35"/>
    <w:rsid w:val="004F0501"/>
    <w:rsid w:val="004F2683"/>
    <w:rsid w:val="004F5673"/>
    <w:rsid w:val="004F6CF2"/>
    <w:rsid w:val="004F6F9C"/>
    <w:rsid w:val="004F71C8"/>
    <w:rsid w:val="004F7CC6"/>
    <w:rsid w:val="00502880"/>
    <w:rsid w:val="005046F8"/>
    <w:rsid w:val="00505497"/>
    <w:rsid w:val="0050549D"/>
    <w:rsid w:val="005073A1"/>
    <w:rsid w:val="005075BE"/>
    <w:rsid w:val="0051506A"/>
    <w:rsid w:val="005158BB"/>
    <w:rsid w:val="00517524"/>
    <w:rsid w:val="00517DE8"/>
    <w:rsid w:val="00520B59"/>
    <w:rsid w:val="00521E40"/>
    <w:rsid w:val="00523355"/>
    <w:rsid w:val="00533547"/>
    <w:rsid w:val="00537FA9"/>
    <w:rsid w:val="005427A4"/>
    <w:rsid w:val="00543610"/>
    <w:rsid w:val="00544589"/>
    <w:rsid w:val="005455C4"/>
    <w:rsid w:val="005514F4"/>
    <w:rsid w:val="00554888"/>
    <w:rsid w:val="0055526C"/>
    <w:rsid w:val="005552FB"/>
    <w:rsid w:val="00555AA6"/>
    <w:rsid w:val="00557E15"/>
    <w:rsid w:val="0056145F"/>
    <w:rsid w:val="00563C80"/>
    <w:rsid w:val="00564CBD"/>
    <w:rsid w:val="00566397"/>
    <w:rsid w:val="00567427"/>
    <w:rsid w:val="00572DDC"/>
    <w:rsid w:val="0057442F"/>
    <w:rsid w:val="005762E8"/>
    <w:rsid w:val="005802E1"/>
    <w:rsid w:val="00581796"/>
    <w:rsid w:val="00583C04"/>
    <w:rsid w:val="00591D9A"/>
    <w:rsid w:val="00593DC7"/>
    <w:rsid w:val="005A2966"/>
    <w:rsid w:val="005A2A3C"/>
    <w:rsid w:val="005A2A8C"/>
    <w:rsid w:val="005A2AC9"/>
    <w:rsid w:val="005A3127"/>
    <w:rsid w:val="005A75D9"/>
    <w:rsid w:val="005B01AB"/>
    <w:rsid w:val="005B1BFD"/>
    <w:rsid w:val="005B21CC"/>
    <w:rsid w:val="005B2D8D"/>
    <w:rsid w:val="005B4EA1"/>
    <w:rsid w:val="005C083C"/>
    <w:rsid w:val="005C2033"/>
    <w:rsid w:val="005C3164"/>
    <w:rsid w:val="005C3F42"/>
    <w:rsid w:val="005C6561"/>
    <w:rsid w:val="005C7442"/>
    <w:rsid w:val="005D097B"/>
    <w:rsid w:val="005D2899"/>
    <w:rsid w:val="005D2E3A"/>
    <w:rsid w:val="005D498F"/>
    <w:rsid w:val="005D5D48"/>
    <w:rsid w:val="005D6CDB"/>
    <w:rsid w:val="005E01B1"/>
    <w:rsid w:val="005E0D27"/>
    <w:rsid w:val="005E1945"/>
    <w:rsid w:val="005E3C46"/>
    <w:rsid w:val="005E4286"/>
    <w:rsid w:val="005E5926"/>
    <w:rsid w:val="005E5C31"/>
    <w:rsid w:val="005F1CF5"/>
    <w:rsid w:val="005F5E2D"/>
    <w:rsid w:val="00601587"/>
    <w:rsid w:val="00601AF4"/>
    <w:rsid w:val="00601BD9"/>
    <w:rsid w:val="00601C7B"/>
    <w:rsid w:val="00603D34"/>
    <w:rsid w:val="006041C6"/>
    <w:rsid w:val="00604289"/>
    <w:rsid w:val="00604D67"/>
    <w:rsid w:val="00605855"/>
    <w:rsid w:val="00605E2A"/>
    <w:rsid w:val="006064AE"/>
    <w:rsid w:val="00612ED4"/>
    <w:rsid w:val="00615A95"/>
    <w:rsid w:val="006163B3"/>
    <w:rsid w:val="00616AA6"/>
    <w:rsid w:val="006172DB"/>
    <w:rsid w:val="006174F0"/>
    <w:rsid w:val="006176C3"/>
    <w:rsid w:val="0062288F"/>
    <w:rsid w:val="006238F1"/>
    <w:rsid w:val="00624344"/>
    <w:rsid w:val="006243CD"/>
    <w:rsid w:val="00627AD4"/>
    <w:rsid w:val="006311FF"/>
    <w:rsid w:val="00631C12"/>
    <w:rsid w:val="00632C71"/>
    <w:rsid w:val="0063460F"/>
    <w:rsid w:val="00636E7F"/>
    <w:rsid w:val="00637A41"/>
    <w:rsid w:val="006411F2"/>
    <w:rsid w:val="006424A3"/>
    <w:rsid w:val="006457B7"/>
    <w:rsid w:val="00646281"/>
    <w:rsid w:val="006468BC"/>
    <w:rsid w:val="00646F6C"/>
    <w:rsid w:val="006470A2"/>
    <w:rsid w:val="006504C4"/>
    <w:rsid w:val="0065629B"/>
    <w:rsid w:val="00660306"/>
    <w:rsid w:val="00661062"/>
    <w:rsid w:val="006656F9"/>
    <w:rsid w:val="00666F75"/>
    <w:rsid w:val="00672328"/>
    <w:rsid w:val="00672765"/>
    <w:rsid w:val="00675A64"/>
    <w:rsid w:val="0067697B"/>
    <w:rsid w:val="00680AB6"/>
    <w:rsid w:val="006817FD"/>
    <w:rsid w:val="006832BE"/>
    <w:rsid w:val="00683CA3"/>
    <w:rsid w:val="00684154"/>
    <w:rsid w:val="00685C51"/>
    <w:rsid w:val="00686784"/>
    <w:rsid w:val="00687C96"/>
    <w:rsid w:val="00690B33"/>
    <w:rsid w:val="0069510D"/>
    <w:rsid w:val="00695312"/>
    <w:rsid w:val="00695D55"/>
    <w:rsid w:val="0069652A"/>
    <w:rsid w:val="006A21A2"/>
    <w:rsid w:val="006A74B4"/>
    <w:rsid w:val="006A7B62"/>
    <w:rsid w:val="006A7F6E"/>
    <w:rsid w:val="006B121E"/>
    <w:rsid w:val="006B2565"/>
    <w:rsid w:val="006B292A"/>
    <w:rsid w:val="006B3298"/>
    <w:rsid w:val="006B57BC"/>
    <w:rsid w:val="006B7728"/>
    <w:rsid w:val="006B7DD4"/>
    <w:rsid w:val="006C0894"/>
    <w:rsid w:val="006C0ED9"/>
    <w:rsid w:val="006C62F3"/>
    <w:rsid w:val="006D1EBD"/>
    <w:rsid w:val="006D510D"/>
    <w:rsid w:val="006D5E17"/>
    <w:rsid w:val="006E465C"/>
    <w:rsid w:val="006E4BFC"/>
    <w:rsid w:val="006E556B"/>
    <w:rsid w:val="006E7040"/>
    <w:rsid w:val="006F172A"/>
    <w:rsid w:val="006F197A"/>
    <w:rsid w:val="006F208E"/>
    <w:rsid w:val="006F3A75"/>
    <w:rsid w:val="006F4340"/>
    <w:rsid w:val="006F4902"/>
    <w:rsid w:val="006F5241"/>
    <w:rsid w:val="006F5C7C"/>
    <w:rsid w:val="00701709"/>
    <w:rsid w:val="007027AB"/>
    <w:rsid w:val="00704278"/>
    <w:rsid w:val="00705581"/>
    <w:rsid w:val="0070706A"/>
    <w:rsid w:val="00710A67"/>
    <w:rsid w:val="00712289"/>
    <w:rsid w:val="00712846"/>
    <w:rsid w:val="00712FD5"/>
    <w:rsid w:val="00713950"/>
    <w:rsid w:val="00714587"/>
    <w:rsid w:val="007162B6"/>
    <w:rsid w:val="007248BF"/>
    <w:rsid w:val="0072647B"/>
    <w:rsid w:val="0073085D"/>
    <w:rsid w:val="00730B54"/>
    <w:rsid w:val="007412C8"/>
    <w:rsid w:val="00741974"/>
    <w:rsid w:val="007434EC"/>
    <w:rsid w:val="00743853"/>
    <w:rsid w:val="007439AA"/>
    <w:rsid w:val="00751F02"/>
    <w:rsid w:val="007564B7"/>
    <w:rsid w:val="00762C5D"/>
    <w:rsid w:val="00763710"/>
    <w:rsid w:val="00765250"/>
    <w:rsid w:val="007701F4"/>
    <w:rsid w:val="00771245"/>
    <w:rsid w:val="007715AD"/>
    <w:rsid w:val="007734D1"/>
    <w:rsid w:val="00773840"/>
    <w:rsid w:val="00776DFA"/>
    <w:rsid w:val="007778F3"/>
    <w:rsid w:val="00785E30"/>
    <w:rsid w:val="007923D6"/>
    <w:rsid w:val="007936AE"/>
    <w:rsid w:val="00793B8C"/>
    <w:rsid w:val="00793FD6"/>
    <w:rsid w:val="00796ECA"/>
    <w:rsid w:val="007A46B8"/>
    <w:rsid w:val="007B011D"/>
    <w:rsid w:val="007B038E"/>
    <w:rsid w:val="007B03E4"/>
    <w:rsid w:val="007B147A"/>
    <w:rsid w:val="007C10A5"/>
    <w:rsid w:val="007C1331"/>
    <w:rsid w:val="007C39A6"/>
    <w:rsid w:val="007C4DBE"/>
    <w:rsid w:val="007C5235"/>
    <w:rsid w:val="007D5973"/>
    <w:rsid w:val="007D6B23"/>
    <w:rsid w:val="007E0C6D"/>
    <w:rsid w:val="007E1C84"/>
    <w:rsid w:val="007E48F1"/>
    <w:rsid w:val="007E7150"/>
    <w:rsid w:val="007E7428"/>
    <w:rsid w:val="007E76B8"/>
    <w:rsid w:val="007F0463"/>
    <w:rsid w:val="007F2BAD"/>
    <w:rsid w:val="007F332B"/>
    <w:rsid w:val="007F4563"/>
    <w:rsid w:val="008000F1"/>
    <w:rsid w:val="008032CC"/>
    <w:rsid w:val="00804186"/>
    <w:rsid w:val="00805A72"/>
    <w:rsid w:val="00810533"/>
    <w:rsid w:val="0081102E"/>
    <w:rsid w:val="00811354"/>
    <w:rsid w:val="00813677"/>
    <w:rsid w:val="00813F41"/>
    <w:rsid w:val="00813F52"/>
    <w:rsid w:val="008170FB"/>
    <w:rsid w:val="00822A66"/>
    <w:rsid w:val="008231B1"/>
    <w:rsid w:val="008235D5"/>
    <w:rsid w:val="00823CC1"/>
    <w:rsid w:val="00825D2E"/>
    <w:rsid w:val="008313D3"/>
    <w:rsid w:val="00831E96"/>
    <w:rsid w:val="008357FD"/>
    <w:rsid w:val="00835CE6"/>
    <w:rsid w:val="008369D8"/>
    <w:rsid w:val="00836CB6"/>
    <w:rsid w:val="008407E2"/>
    <w:rsid w:val="008409F7"/>
    <w:rsid w:val="008411BF"/>
    <w:rsid w:val="00841F26"/>
    <w:rsid w:val="00843F36"/>
    <w:rsid w:val="00845D69"/>
    <w:rsid w:val="00846667"/>
    <w:rsid w:val="008473A9"/>
    <w:rsid w:val="00853A79"/>
    <w:rsid w:val="00855C97"/>
    <w:rsid w:val="00861555"/>
    <w:rsid w:val="00865841"/>
    <w:rsid w:val="00870AEA"/>
    <w:rsid w:val="008749A4"/>
    <w:rsid w:val="00875003"/>
    <w:rsid w:val="00877BE9"/>
    <w:rsid w:val="00881C40"/>
    <w:rsid w:val="00881D4E"/>
    <w:rsid w:val="00882566"/>
    <w:rsid w:val="00882D5E"/>
    <w:rsid w:val="00883E50"/>
    <w:rsid w:val="00883F65"/>
    <w:rsid w:val="00887801"/>
    <w:rsid w:val="008907C7"/>
    <w:rsid w:val="008924B2"/>
    <w:rsid w:val="00893004"/>
    <w:rsid w:val="00893CD3"/>
    <w:rsid w:val="00893FC9"/>
    <w:rsid w:val="00895FD6"/>
    <w:rsid w:val="008A0F17"/>
    <w:rsid w:val="008A38F1"/>
    <w:rsid w:val="008A3C20"/>
    <w:rsid w:val="008A49AD"/>
    <w:rsid w:val="008A5260"/>
    <w:rsid w:val="008A5392"/>
    <w:rsid w:val="008A5431"/>
    <w:rsid w:val="008A5C0C"/>
    <w:rsid w:val="008B0675"/>
    <w:rsid w:val="008B0DAF"/>
    <w:rsid w:val="008B180C"/>
    <w:rsid w:val="008B2010"/>
    <w:rsid w:val="008B506A"/>
    <w:rsid w:val="008B7492"/>
    <w:rsid w:val="008B7F7E"/>
    <w:rsid w:val="008C0045"/>
    <w:rsid w:val="008C0EE7"/>
    <w:rsid w:val="008C10B5"/>
    <w:rsid w:val="008C1161"/>
    <w:rsid w:val="008C2CEA"/>
    <w:rsid w:val="008C3E5D"/>
    <w:rsid w:val="008C5ABE"/>
    <w:rsid w:val="008C6019"/>
    <w:rsid w:val="008C7022"/>
    <w:rsid w:val="008C74AF"/>
    <w:rsid w:val="008C75B3"/>
    <w:rsid w:val="008C798B"/>
    <w:rsid w:val="008D0C50"/>
    <w:rsid w:val="008D207F"/>
    <w:rsid w:val="008D2F11"/>
    <w:rsid w:val="008D3566"/>
    <w:rsid w:val="008D5C6C"/>
    <w:rsid w:val="008D7D9B"/>
    <w:rsid w:val="008E0E6A"/>
    <w:rsid w:val="008E14DC"/>
    <w:rsid w:val="008E2757"/>
    <w:rsid w:val="008E3464"/>
    <w:rsid w:val="008E3CB7"/>
    <w:rsid w:val="008E46C9"/>
    <w:rsid w:val="008F0C94"/>
    <w:rsid w:val="008F237B"/>
    <w:rsid w:val="008F2A5C"/>
    <w:rsid w:val="008F2D8B"/>
    <w:rsid w:val="008F3172"/>
    <w:rsid w:val="008F797C"/>
    <w:rsid w:val="00901138"/>
    <w:rsid w:val="00903034"/>
    <w:rsid w:val="009058A1"/>
    <w:rsid w:val="00912700"/>
    <w:rsid w:val="00913414"/>
    <w:rsid w:val="009143B7"/>
    <w:rsid w:val="00915032"/>
    <w:rsid w:val="00916F7C"/>
    <w:rsid w:val="00922E5B"/>
    <w:rsid w:val="009242CC"/>
    <w:rsid w:val="00931F99"/>
    <w:rsid w:val="00933B54"/>
    <w:rsid w:val="00933DFE"/>
    <w:rsid w:val="00934027"/>
    <w:rsid w:val="0093449A"/>
    <w:rsid w:val="0093612B"/>
    <w:rsid w:val="009377E4"/>
    <w:rsid w:val="009415F7"/>
    <w:rsid w:val="00941ECF"/>
    <w:rsid w:val="009438D1"/>
    <w:rsid w:val="0094554A"/>
    <w:rsid w:val="0094795C"/>
    <w:rsid w:val="009501A4"/>
    <w:rsid w:val="009541A0"/>
    <w:rsid w:val="00954313"/>
    <w:rsid w:val="009561F3"/>
    <w:rsid w:val="00962207"/>
    <w:rsid w:val="00963C57"/>
    <w:rsid w:val="009652B0"/>
    <w:rsid w:val="00965710"/>
    <w:rsid w:val="00966CF8"/>
    <w:rsid w:val="00970769"/>
    <w:rsid w:val="00973014"/>
    <w:rsid w:val="00974812"/>
    <w:rsid w:val="00975584"/>
    <w:rsid w:val="00976328"/>
    <w:rsid w:val="0097752F"/>
    <w:rsid w:val="00981705"/>
    <w:rsid w:val="00982091"/>
    <w:rsid w:val="0098450B"/>
    <w:rsid w:val="00984670"/>
    <w:rsid w:val="00984FC7"/>
    <w:rsid w:val="00984FEB"/>
    <w:rsid w:val="00990437"/>
    <w:rsid w:val="00992A1A"/>
    <w:rsid w:val="009935FA"/>
    <w:rsid w:val="00994AE7"/>
    <w:rsid w:val="00994EFC"/>
    <w:rsid w:val="0099695C"/>
    <w:rsid w:val="00996DCA"/>
    <w:rsid w:val="009974B3"/>
    <w:rsid w:val="009A1A81"/>
    <w:rsid w:val="009A29AD"/>
    <w:rsid w:val="009A47A8"/>
    <w:rsid w:val="009A52B0"/>
    <w:rsid w:val="009A6982"/>
    <w:rsid w:val="009A6D5B"/>
    <w:rsid w:val="009B156A"/>
    <w:rsid w:val="009B22E1"/>
    <w:rsid w:val="009B2D19"/>
    <w:rsid w:val="009B3324"/>
    <w:rsid w:val="009B5337"/>
    <w:rsid w:val="009B6207"/>
    <w:rsid w:val="009B7C63"/>
    <w:rsid w:val="009C12F2"/>
    <w:rsid w:val="009C14C2"/>
    <w:rsid w:val="009C1988"/>
    <w:rsid w:val="009C1E23"/>
    <w:rsid w:val="009C3EB6"/>
    <w:rsid w:val="009C53A3"/>
    <w:rsid w:val="009C56B4"/>
    <w:rsid w:val="009C650D"/>
    <w:rsid w:val="009C6703"/>
    <w:rsid w:val="009C776C"/>
    <w:rsid w:val="009D485F"/>
    <w:rsid w:val="009D555F"/>
    <w:rsid w:val="009E0B02"/>
    <w:rsid w:val="009E162B"/>
    <w:rsid w:val="009E17D3"/>
    <w:rsid w:val="009E2602"/>
    <w:rsid w:val="009E544E"/>
    <w:rsid w:val="009E5976"/>
    <w:rsid w:val="009E5B74"/>
    <w:rsid w:val="009E7938"/>
    <w:rsid w:val="009F060A"/>
    <w:rsid w:val="009F07DB"/>
    <w:rsid w:val="009F1C7B"/>
    <w:rsid w:val="009F529E"/>
    <w:rsid w:val="009F6F7E"/>
    <w:rsid w:val="00A02E5D"/>
    <w:rsid w:val="00A02FE9"/>
    <w:rsid w:val="00A03B94"/>
    <w:rsid w:val="00A04EBE"/>
    <w:rsid w:val="00A05359"/>
    <w:rsid w:val="00A0646F"/>
    <w:rsid w:val="00A07519"/>
    <w:rsid w:val="00A075BA"/>
    <w:rsid w:val="00A102F8"/>
    <w:rsid w:val="00A1221F"/>
    <w:rsid w:val="00A17A8E"/>
    <w:rsid w:val="00A212F4"/>
    <w:rsid w:val="00A224AC"/>
    <w:rsid w:val="00A256BF"/>
    <w:rsid w:val="00A264F4"/>
    <w:rsid w:val="00A26664"/>
    <w:rsid w:val="00A326DB"/>
    <w:rsid w:val="00A350F6"/>
    <w:rsid w:val="00A36B93"/>
    <w:rsid w:val="00A36CBB"/>
    <w:rsid w:val="00A370E2"/>
    <w:rsid w:val="00A4081D"/>
    <w:rsid w:val="00A46045"/>
    <w:rsid w:val="00A46401"/>
    <w:rsid w:val="00A47940"/>
    <w:rsid w:val="00A5186B"/>
    <w:rsid w:val="00A56F3C"/>
    <w:rsid w:val="00A57F2A"/>
    <w:rsid w:val="00A60882"/>
    <w:rsid w:val="00A6116D"/>
    <w:rsid w:val="00A63000"/>
    <w:rsid w:val="00A64898"/>
    <w:rsid w:val="00A64EC6"/>
    <w:rsid w:val="00A65C1F"/>
    <w:rsid w:val="00A67C80"/>
    <w:rsid w:val="00A67CFC"/>
    <w:rsid w:val="00A70752"/>
    <w:rsid w:val="00A70D18"/>
    <w:rsid w:val="00A73750"/>
    <w:rsid w:val="00A808A3"/>
    <w:rsid w:val="00A848FF"/>
    <w:rsid w:val="00A85286"/>
    <w:rsid w:val="00A8599E"/>
    <w:rsid w:val="00A85FAB"/>
    <w:rsid w:val="00A873C7"/>
    <w:rsid w:val="00A9108F"/>
    <w:rsid w:val="00A922E9"/>
    <w:rsid w:val="00A94D03"/>
    <w:rsid w:val="00A95C4A"/>
    <w:rsid w:val="00A975DA"/>
    <w:rsid w:val="00AA0218"/>
    <w:rsid w:val="00AA0713"/>
    <w:rsid w:val="00AA316B"/>
    <w:rsid w:val="00AA538C"/>
    <w:rsid w:val="00AB0174"/>
    <w:rsid w:val="00AB0C4C"/>
    <w:rsid w:val="00AB7A2D"/>
    <w:rsid w:val="00AC17F9"/>
    <w:rsid w:val="00AC2B1F"/>
    <w:rsid w:val="00AC30E3"/>
    <w:rsid w:val="00AD0F66"/>
    <w:rsid w:val="00AD1F4B"/>
    <w:rsid w:val="00AD2206"/>
    <w:rsid w:val="00AD539A"/>
    <w:rsid w:val="00AD6065"/>
    <w:rsid w:val="00AD6145"/>
    <w:rsid w:val="00AD6D58"/>
    <w:rsid w:val="00AE0208"/>
    <w:rsid w:val="00AE1379"/>
    <w:rsid w:val="00AE3C92"/>
    <w:rsid w:val="00AE6F02"/>
    <w:rsid w:val="00AF1BC8"/>
    <w:rsid w:val="00AF68AD"/>
    <w:rsid w:val="00B000EA"/>
    <w:rsid w:val="00B01012"/>
    <w:rsid w:val="00B03D91"/>
    <w:rsid w:val="00B04D12"/>
    <w:rsid w:val="00B07478"/>
    <w:rsid w:val="00B10BA8"/>
    <w:rsid w:val="00B11BA6"/>
    <w:rsid w:val="00B11D38"/>
    <w:rsid w:val="00B12805"/>
    <w:rsid w:val="00B16442"/>
    <w:rsid w:val="00B21CBB"/>
    <w:rsid w:val="00B228E1"/>
    <w:rsid w:val="00B24976"/>
    <w:rsid w:val="00B25A26"/>
    <w:rsid w:val="00B26754"/>
    <w:rsid w:val="00B30012"/>
    <w:rsid w:val="00B3169B"/>
    <w:rsid w:val="00B324CD"/>
    <w:rsid w:val="00B33408"/>
    <w:rsid w:val="00B36670"/>
    <w:rsid w:val="00B368B5"/>
    <w:rsid w:val="00B410A3"/>
    <w:rsid w:val="00B4119D"/>
    <w:rsid w:val="00B45DE6"/>
    <w:rsid w:val="00B47836"/>
    <w:rsid w:val="00B50122"/>
    <w:rsid w:val="00B51168"/>
    <w:rsid w:val="00B52A47"/>
    <w:rsid w:val="00B5392E"/>
    <w:rsid w:val="00B614F3"/>
    <w:rsid w:val="00B623ED"/>
    <w:rsid w:val="00B66C49"/>
    <w:rsid w:val="00B679C1"/>
    <w:rsid w:val="00B70F71"/>
    <w:rsid w:val="00B72351"/>
    <w:rsid w:val="00B735C7"/>
    <w:rsid w:val="00B7432C"/>
    <w:rsid w:val="00B75175"/>
    <w:rsid w:val="00B75A75"/>
    <w:rsid w:val="00B80BAD"/>
    <w:rsid w:val="00B83372"/>
    <w:rsid w:val="00B834C4"/>
    <w:rsid w:val="00B8532F"/>
    <w:rsid w:val="00B85D63"/>
    <w:rsid w:val="00B86DD1"/>
    <w:rsid w:val="00B929FE"/>
    <w:rsid w:val="00B96474"/>
    <w:rsid w:val="00BA0929"/>
    <w:rsid w:val="00BA16A4"/>
    <w:rsid w:val="00BA2B4B"/>
    <w:rsid w:val="00BA3379"/>
    <w:rsid w:val="00BA7825"/>
    <w:rsid w:val="00BA7FEF"/>
    <w:rsid w:val="00BB12C7"/>
    <w:rsid w:val="00BB28AB"/>
    <w:rsid w:val="00BB356B"/>
    <w:rsid w:val="00BB3A18"/>
    <w:rsid w:val="00BB5154"/>
    <w:rsid w:val="00BB61A1"/>
    <w:rsid w:val="00BC0AFA"/>
    <w:rsid w:val="00BC2CB1"/>
    <w:rsid w:val="00BC3953"/>
    <w:rsid w:val="00BC4B0E"/>
    <w:rsid w:val="00BC4C75"/>
    <w:rsid w:val="00BC5B37"/>
    <w:rsid w:val="00BC750A"/>
    <w:rsid w:val="00BD0F46"/>
    <w:rsid w:val="00BD5AEC"/>
    <w:rsid w:val="00BE012C"/>
    <w:rsid w:val="00BE0244"/>
    <w:rsid w:val="00BE3232"/>
    <w:rsid w:val="00BE3E8C"/>
    <w:rsid w:val="00BE6847"/>
    <w:rsid w:val="00BE6BBD"/>
    <w:rsid w:val="00BF0BC9"/>
    <w:rsid w:val="00BF115C"/>
    <w:rsid w:val="00BF36A3"/>
    <w:rsid w:val="00BF4ECD"/>
    <w:rsid w:val="00BF5590"/>
    <w:rsid w:val="00BF5D12"/>
    <w:rsid w:val="00BF6F29"/>
    <w:rsid w:val="00C00B14"/>
    <w:rsid w:val="00C00D9F"/>
    <w:rsid w:val="00C01C08"/>
    <w:rsid w:val="00C0279E"/>
    <w:rsid w:val="00C02A86"/>
    <w:rsid w:val="00C02D8D"/>
    <w:rsid w:val="00C04B66"/>
    <w:rsid w:val="00C05405"/>
    <w:rsid w:val="00C059B9"/>
    <w:rsid w:val="00C10EBB"/>
    <w:rsid w:val="00C11C36"/>
    <w:rsid w:val="00C12FC6"/>
    <w:rsid w:val="00C136DA"/>
    <w:rsid w:val="00C145D9"/>
    <w:rsid w:val="00C14EEA"/>
    <w:rsid w:val="00C14EF9"/>
    <w:rsid w:val="00C15EFE"/>
    <w:rsid w:val="00C17995"/>
    <w:rsid w:val="00C17C6E"/>
    <w:rsid w:val="00C20324"/>
    <w:rsid w:val="00C20A81"/>
    <w:rsid w:val="00C22671"/>
    <w:rsid w:val="00C2361C"/>
    <w:rsid w:val="00C2530E"/>
    <w:rsid w:val="00C264D2"/>
    <w:rsid w:val="00C267E0"/>
    <w:rsid w:val="00C26E77"/>
    <w:rsid w:val="00C3015A"/>
    <w:rsid w:val="00C30A6F"/>
    <w:rsid w:val="00C33E9A"/>
    <w:rsid w:val="00C34491"/>
    <w:rsid w:val="00C344BF"/>
    <w:rsid w:val="00C3564F"/>
    <w:rsid w:val="00C40222"/>
    <w:rsid w:val="00C436C5"/>
    <w:rsid w:val="00C441F5"/>
    <w:rsid w:val="00C44A11"/>
    <w:rsid w:val="00C46E2E"/>
    <w:rsid w:val="00C51DCD"/>
    <w:rsid w:val="00C5509A"/>
    <w:rsid w:val="00C55936"/>
    <w:rsid w:val="00C55A6A"/>
    <w:rsid w:val="00C55C54"/>
    <w:rsid w:val="00C5611A"/>
    <w:rsid w:val="00C61300"/>
    <w:rsid w:val="00C71CAE"/>
    <w:rsid w:val="00C7587B"/>
    <w:rsid w:val="00C75D03"/>
    <w:rsid w:val="00C779B3"/>
    <w:rsid w:val="00C77DEF"/>
    <w:rsid w:val="00C80EA6"/>
    <w:rsid w:val="00C81537"/>
    <w:rsid w:val="00C81721"/>
    <w:rsid w:val="00C81EDD"/>
    <w:rsid w:val="00C83254"/>
    <w:rsid w:val="00C8644F"/>
    <w:rsid w:val="00C9029B"/>
    <w:rsid w:val="00C91782"/>
    <w:rsid w:val="00C949D4"/>
    <w:rsid w:val="00C95F02"/>
    <w:rsid w:val="00C9775D"/>
    <w:rsid w:val="00CA0119"/>
    <w:rsid w:val="00CA1984"/>
    <w:rsid w:val="00CA38DB"/>
    <w:rsid w:val="00CA7D2D"/>
    <w:rsid w:val="00CA7E0C"/>
    <w:rsid w:val="00CB12E9"/>
    <w:rsid w:val="00CB1973"/>
    <w:rsid w:val="00CB32D8"/>
    <w:rsid w:val="00CB4A9D"/>
    <w:rsid w:val="00CB57FC"/>
    <w:rsid w:val="00CB588F"/>
    <w:rsid w:val="00CB7519"/>
    <w:rsid w:val="00CB7A05"/>
    <w:rsid w:val="00CC38D4"/>
    <w:rsid w:val="00CC5426"/>
    <w:rsid w:val="00CC7B18"/>
    <w:rsid w:val="00CD2F32"/>
    <w:rsid w:val="00CD456F"/>
    <w:rsid w:val="00CD5681"/>
    <w:rsid w:val="00CD56EB"/>
    <w:rsid w:val="00CD5D1C"/>
    <w:rsid w:val="00CD6C33"/>
    <w:rsid w:val="00CD7DA6"/>
    <w:rsid w:val="00CE1077"/>
    <w:rsid w:val="00CE172D"/>
    <w:rsid w:val="00CE2079"/>
    <w:rsid w:val="00CE2C2A"/>
    <w:rsid w:val="00CE2ECD"/>
    <w:rsid w:val="00CE50E0"/>
    <w:rsid w:val="00CE70D3"/>
    <w:rsid w:val="00CF1410"/>
    <w:rsid w:val="00CF1740"/>
    <w:rsid w:val="00CF28A8"/>
    <w:rsid w:val="00CF6856"/>
    <w:rsid w:val="00CF6A5D"/>
    <w:rsid w:val="00CF7836"/>
    <w:rsid w:val="00D008D6"/>
    <w:rsid w:val="00D01BD6"/>
    <w:rsid w:val="00D01D14"/>
    <w:rsid w:val="00D023BD"/>
    <w:rsid w:val="00D0291C"/>
    <w:rsid w:val="00D04DF2"/>
    <w:rsid w:val="00D0535C"/>
    <w:rsid w:val="00D065EE"/>
    <w:rsid w:val="00D06B3E"/>
    <w:rsid w:val="00D06BD3"/>
    <w:rsid w:val="00D108C1"/>
    <w:rsid w:val="00D1533B"/>
    <w:rsid w:val="00D16068"/>
    <w:rsid w:val="00D1619D"/>
    <w:rsid w:val="00D20888"/>
    <w:rsid w:val="00D2178D"/>
    <w:rsid w:val="00D223C7"/>
    <w:rsid w:val="00D22DE3"/>
    <w:rsid w:val="00D23144"/>
    <w:rsid w:val="00D24227"/>
    <w:rsid w:val="00D27129"/>
    <w:rsid w:val="00D27170"/>
    <w:rsid w:val="00D27EDA"/>
    <w:rsid w:val="00D3071F"/>
    <w:rsid w:val="00D31BAC"/>
    <w:rsid w:val="00D3275E"/>
    <w:rsid w:val="00D33BBA"/>
    <w:rsid w:val="00D40E7E"/>
    <w:rsid w:val="00D419A5"/>
    <w:rsid w:val="00D42FDD"/>
    <w:rsid w:val="00D44BD8"/>
    <w:rsid w:val="00D52F9C"/>
    <w:rsid w:val="00D54456"/>
    <w:rsid w:val="00D56229"/>
    <w:rsid w:val="00D562A8"/>
    <w:rsid w:val="00D57462"/>
    <w:rsid w:val="00D60C74"/>
    <w:rsid w:val="00D61E7D"/>
    <w:rsid w:val="00D645F0"/>
    <w:rsid w:val="00D654CA"/>
    <w:rsid w:val="00D65740"/>
    <w:rsid w:val="00D66A13"/>
    <w:rsid w:val="00D73A3F"/>
    <w:rsid w:val="00D74407"/>
    <w:rsid w:val="00D75233"/>
    <w:rsid w:val="00D774F6"/>
    <w:rsid w:val="00D77D65"/>
    <w:rsid w:val="00D82CD2"/>
    <w:rsid w:val="00D842F7"/>
    <w:rsid w:val="00D843D6"/>
    <w:rsid w:val="00D85B0C"/>
    <w:rsid w:val="00D91016"/>
    <w:rsid w:val="00D92293"/>
    <w:rsid w:val="00D932AE"/>
    <w:rsid w:val="00D95C7E"/>
    <w:rsid w:val="00D96CA2"/>
    <w:rsid w:val="00D96E08"/>
    <w:rsid w:val="00DA10FE"/>
    <w:rsid w:val="00DA435E"/>
    <w:rsid w:val="00DA4A2F"/>
    <w:rsid w:val="00DA5166"/>
    <w:rsid w:val="00DA5B7F"/>
    <w:rsid w:val="00DB0344"/>
    <w:rsid w:val="00DB0418"/>
    <w:rsid w:val="00DB06FF"/>
    <w:rsid w:val="00DB0F1B"/>
    <w:rsid w:val="00DB1103"/>
    <w:rsid w:val="00DB1ED2"/>
    <w:rsid w:val="00DC02A4"/>
    <w:rsid w:val="00DC12E5"/>
    <w:rsid w:val="00DC34F8"/>
    <w:rsid w:val="00DC5C94"/>
    <w:rsid w:val="00DC5E25"/>
    <w:rsid w:val="00DC69B7"/>
    <w:rsid w:val="00DD11EA"/>
    <w:rsid w:val="00DD3504"/>
    <w:rsid w:val="00DD574C"/>
    <w:rsid w:val="00DD5D52"/>
    <w:rsid w:val="00DE5763"/>
    <w:rsid w:val="00DE7907"/>
    <w:rsid w:val="00DF01E9"/>
    <w:rsid w:val="00DF2BF8"/>
    <w:rsid w:val="00DF304E"/>
    <w:rsid w:val="00DF323F"/>
    <w:rsid w:val="00DF3569"/>
    <w:rsid w:val="00E00AD4"/>
    <w:rsid w:val="00E028D1"/>
    <w:rsid w:val="00E03A88"/>
    <w:rsid w:val="00E07BC9"/>
    <w:rsid w:val="00E15C1F"/>
    <w:rsid w:val="00E205C9"/>
    <w:rsid w:val="00E24200"/>
    <w:rsid w:val="00E2532A"/>
    <w:rsid w:val="00E26A24"/>
    <w:rsid w:val="00E27FFD"/>
    <w:rsid w:val="00E30491"/>
    <w:rsid w:val="00E3162C"/>
    <w:rsid w:val="00E318AB"/>
    <w:rsid w:val="00E325A7"/>
    <w:rsid w:val="00E34071"/>
    <w:rsid w:val="00E37742"/>
    <w:rsid w:val="00E4021C"/>
    <w:rsid w:val="00E40B17"/>
    <w:rsid w:val="00E41B57"/>
    <w:rsid w:val="00E422CB"/>
    <w:rsid w:val="00E42E92"/>
    <w:rsid w:val="00E52257"/>
    <w:rsid w:val="00E52A9B"/>
    <w:rsid w:val="00E60141"/>
    <w:rsid w:val="00E634DA"/>
    <w:rsid w:val="00E67DAE"/>
    <w:rsid w:val="00E725F1"/>
    <w:rsid w:val="00E73451"/>
    <w:rsid w:val="00E7459F"/>
    <w:rsid w:val="00E768B7"/>
    <w:rsid w:val="00E83989"/>
    <w:rsid w:val="00E85247"/>
    <w:rsid w:val="00E87990"/>
    <w:rsid w:val="00E879C5"/>
    <w:rsid w:val="00E927B6"/>
    <w:rsid w:val="00E92C85"/>
    <w:rsid w:val="00E93B18"/>
    <w:rsid w:val="00E957DB"/>
    <w:rsid w:val="00E9762E"/>
    <w:rsid w:val="00EB3E17"/>
    <w:rsid w:val="00EB422E"/>
    <w:rsid w:val="00EB48E8"/>
    <w:rsid w:val="00EB70FE"/>
    <w:rsid w:val="00EC0629"/>
    <w:rsid w:val="00EC1605"/>
    <w:rsid w:val="00EC263C"/>
    <w:rsid w:val="00EC4A1A"/>
    <w:rsid w:val="00EC74D4"/>
    <w:rsid w:val="00ED0070"/>
    <w:rsid w:val="00ED1876"/>
    <w:rsid w:val="00ED1FA7"/>
    <w:rsid w:val="00ED2489"/>
    <w:rsid w:val="00EE04E2"/>
    <w:rsid w:val="00EE0611"/>
    <w:rsid w:val="00EE4B1B"/>
    <w:rsid w:val="00EE73B7"/>
    <w:rsid w:val="00EF0C72"/>
    <w:rsid w:val="00EF3894"/>
    <w:rsid w:val="00EF4081"/>
    <w:rsid w:val="00EF4890"/>
    <w:rsid w:val="00EF5071"/>
    <w:rsid w:val="00F05A62"/>
    <w:rsid w:val="00F1044A"/>
    <w:rsid w:val="00F12915"/>
    <w:rsid w:val="00F148BF"/>
    <w:rsid w:val="00F16998"/>
    <w:rsid w:val="00F17E7E"/>
    <w:rsid w:val="00F20454"/>
    <w:rsid w:val="00F20556"/>
    <w:rsid w:val="00F20FC5"/>
    <w:rsid w:val="00F21786"/>
    <w:rsid w:val="00F21A0D"/>
    <w:rsid w:val="00F24EE7"/>
    <w:rsid w:val="00F2799B"/>
    <w:rsid w:val="00F313C2"/>
    <w:rsid w:val="00F33112"/>
    <w:rsid w:val="00F347E5"/>
    <w:rsid w:val="00F3489E"/>
    <w:rsid w:val="00F34B0D"/>
    <w:rsid w:val="00F36001"/>
    <w:rsid w:val="00F40CBA"/>
    <w:rsid w:val="00F40F4F"/>
    <w:rsid w:val="00F41F40"/>
    <w:rsid w:val="00F42DE4"/>
    <w:rsid w:val="00F432A6"/>
    <w:rsid w:val="00F44220"/>
    <w:rsid w:val="00F50081"/>
    <w:rsid w:val="00F54E77"/>
    <w:rsid w:val="00F60934"/>
    <w:rsid w:val="00F6149D"/>
    <w:rsid w:val="00F62372"/>
    <w:rsid w:val="00F71A62"/>
    <w:rsid w:val="00F735EC"/>
    <w:rsid w:val="00F738F5"/>
    <w:rsid w:val="00F74352"/>
    <w:rsid w:val="00F74838"/>
    <w:rsid w:val="00F74EDA"/>
    <w:rsid w:val="00F778BF"/>
    <w:rsid w:val="00F81064"/>
    <w:rsid w:val="00F820D2"/>
    <w:rsid w:val="00F85BE0"/>
    <w:rsid w:val="00F91F7A"/>
    <w:rsid w:val="00F93249"/>
    <w:rsid w:val="00F9345B"/>
    <w:rsid w:val="00F96BCE"/>
    <w:rsid w:val="00FA0585"/>
    <w:rsid w:val="00FA1A48"/>
    <w:rsid w:val="00FA2EC4"/>
    <w:rsid w:val="00FA35FD"/>
    <w:rsid w:val="00FA579F"/>
    <w:rsid w:val="00FA69D0"/>
    <w:rsid w:val="00FB0F6C"/>
    <w:rsid w:val="00FB128C"/>
    <w:rsid w:val="00FB18AA"/>
    <w:rsid w:val="00FB38FB"/>
    <w:rsid w:val="00FB51C3"/>
    <w:rsid w:val="00FB571B"/>
    <w:rsid w:val="00FB5D2E"/>
    <w:rsid w:val="00FB61DD"/>
    <w:rsid w:val="00FB6386"/>
    <w:rsid w:val="00FB73B0"/>
    <w:rsid w:val="00FC3104"/>
    <w:rsid w:val="00FC32B5"/>
    <w:rsid w:val="00FC43C3"/>
    <w:rsid w:val="00FC6748"/>
    <w:rsid w:val="00FC7719"/>
    <w:rsid w:val="00FD00AD"/>
    <w:rsid w:val="00FD3F07"/>
    <w:rsid w:val="00FD4DDF"/>
    <w:rsid w:val="00FD4F1D"/>
    <w:rsid w:val="00FD57C6"/>
    <w:rsid w:val="00FD611F"/>
    <w:rsid w:val="00FD7DBC"/>
    <w:rsid w:val="00FD7FAE"/>
    <w:rsid w:val="00FE2878"/>
    <w:rsid w:val="00FE3E80"/>
    <w:rsid w:val="00FE4BFD"/>
    <w:rsid w:val="00FE50BF"/>
    <w:rsid w:val="00FE53F8"/>
    <w:rsid w:val="00FE5B34"/>
    <w:rsid w:val="00FE6272"/>
    <w:rsid w:val="00FF35AD"/>
    <w:rsid w:val="00FF3DAB"/>
    <w:rsid w:val="00FF5FC4"/>
    <w:rsid w:val="00FF6BA2"/>
    <w:rsid w:val="00FF7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455F"/>
  </w:style>
  <w:style w:type="paragraph" w:styleId="Nagwek1">
    <w:name w:val="heading 1"/>
    <w:basedOn w:val="Normalny"/>
    <w:next w:val="Normalny"/>
    <w:link w:val="Nagwek1Znak"/>
    <w:uiPriority w:val="9"/>
    <w:qFormat/>
    <w:rsid w:val="00EF38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5C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B0D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4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45D9"/>
  </w:style>
  <w:style w:type="paragraph" w:styleId="Stopka">
    <w:name w:val="footer"/>
    <w:basedOn w:val="Normalny"/>
    <w:link w:val="StopkaZnak"/>
    <w:uiPriority w:val="99"/>
    <w:unhideWhenUsed/>
    <w:rsid w:val="00C14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45D9"/>
  </w:style>
  <w:style w:type="paragraph" w:styleId="Podtytu">
    <w:name w:val="Subtitle"/>
    <w:basedOn w:val="Normalny"/>
    <w:next w:val="Normalny"/>
    <w:link w:val="PodtytuZnak"/>
    <w:uiPriority w:val="11"/>
    <w:qFormat/>
    <w:rsid w:val="00A4604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A46045"/>
    <w:rPr>
      <w:rFonts w:eastAsiaTheme="minorEastAsia"/>
      <w:color w:val="5A5A5A" w:themeColor="text1" w:themeTint="A5"/>
      <w:spacing w:val="15"/>
    </w:rPr>
  </w:style>
  <w:style w:type="table" w:styleId="Tabela-Siatka">
    <w:name w:val="Table Grid"/>
    <w:basedOn w:val="Standardowy"/>
    <w:uiPriority w:val="59"/>
    <w:rsid w:val="00A460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A4604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460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EF38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F3894"/>
    <w:pPr>
      <w:outlineLvl w:val="9"/>
    </w:pPr>
    <w:rPr>
      <w:lang w:eastAsia="pl-PL"/>
    </w:rPr>
  </w:style>
  <w:style w:type="paragraph" w:styleId="Akapitzlist">
    <w:name w:val="List Paragraph"/>
    <w:aliases w:val="Numerowanie,Akapit z listą BS,List Paragraph,L1,sw tekst,Akapit z listą5,normalny tekst,Kolorowa lista — akcent 11,Akapit normalny,Lista XXX,lp1,Preambuła,Colorful Shading - Accent 31,Light List - Accent 51,Bulleted list,Bullet List,l,Dot"/>
    <w:basedOn w:val="Normalny"/>
    <w:link w:val="AkapitzlistZnak"/>
    <w:uiPriority w:val="34"/>
    <w:qFormat/>
    <w:rsid w:val="00A922E9"/>
    <w:pPr>
      <w:ind w:left="720"/>
      <w:contextualSpacing/>
    </w:pPr>
  </w:style>
  <w:style w:type="table" w:customStyle="1" w:styleId="Zwykatabela11">
    <w:name w:val="Zwykła tabela 11"/>
    <w:basedOn w:val="Standardowy"/>
    <w:uiPriority w:val="41"/>
    <w:rsid w:val="00422E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iatkatabelijasna1">
    <w:name w:val="Siatka tabeli — jasna1"/>
    <w:basedOn w:val="Standardowy"/>
    <w:uiPriority w:val="40"/>
    <w:rsid w:val="00422E4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istreci1">
    <w:name w:val="toc 1"/>
    <w:basedOn w:val="Normalny"/>
    <w:next w:val="Normalny"/>
    <w:autoRedefine/>
    <w:uiPriority w:val="39"/>
    <w:unhideWhenUsed/>
    <w:rsid w:val="00D1619D"/>
    <w:pPr>
      <w:tabs>
        <w:tab w:val="left" w:pos="440"/>
        <w:tab w:val="right" w:leader="dot" w:pos="9062"/>
      </w:tabs>
      <w:spacing w:after="100"/>
    </w:pPr>
  </w:style>
  <w:style w:type="character" w:styleId="Hipercze">
    <w:name w:val="Hyperlink"/>
    <w:basedOn w:val="Domylnaczcionkaakapitu"/>
    <w:uiPriority w:val="99"/>
    <w:unhideWhenUsed/>
    <w:rsid w:val="00A975DA"/>
    <w:rPr>
      <w:color w:val="0563C1" w:themeColor="hyperlink"/>
      <w:u w:val="single"/>
    </w:rPr>
  </w:style>
  <w:style w:type="character" w:customStyle="1" w:styleId="AkapitzlistZnak">
    <w:name w:val="Akapit z listą Znak"/>
    <w:aliases w:val="Numerowanie Znak,Akapit z listą BS Znak,List Paragraph Znak,L1 Znak,sw tekst Znak,Akapit z listą5 Znak,normalny tekst Znak,Kolorowa lista — akcent 11 Znak,Akapit normalny Znak,Lista XXX Znak,lp1 Znak,Preambuła Znak,Bulleted list Znak"/>
    <w:link w:val="Akapitzlist"/>
    <w:uiPriority w:val="34"/>
    <w:qFormat/>
    <w:locked/>
    <w:rsid w:val="00F313C2"/>
  </w:style>
  <w:style w:type="paragraph" w:customStyle="1" w:styleId="Default">
    <w:name w:val="Default"/>
    <w:rsid w:val="006243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5C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D5681"/>
    <w:rPr>
      <w:color w:val="605E5C"/>
      <w:shd w:val="clear" w:color="auto" w:fill="E1DFDD"/>
    </w:rPr>
  </w:style>
  <w:style w:type="character" w:styleId="Pogrubienie">
    <w:name w:val="Strong"/>
    <w:uiPriority w:val="22"/>
    <w:qFormat/>
    <w:rsid w:val="00A1221F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A12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t-span">
    <w:name w:val="ct-span"/>
    <w:basedOn w:val="Domylnaczcionkaakapitu"/>
    <w:rsid w:val="00ED1876"/>
  </w:style>
  <w:style w:type="character" w:customStyle="1" w:styleId="hgkelc">
    <w:name w:val="hgkelc"/>
    <w:basedOn w:val="Domylnaczcionkaakapitu"/>
    <w:rsid w:val="009E2602"/>
  </w:style>
  <w:style w:type="character" w:styleId="Odwoaniedokomentarza">
    <w:name w:val="annotation reference"/>
    <w:basedOn w:val="Domylnaczcionkaakapitu"/>
    <w:uiPriority w:val="99"/>
    <w:semiHidden/>
    <w:unhideWhenUsed/>
    <w:rsid w:val="002143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143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143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43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433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43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4330"/>
    <w:rPr>
      <w:rFonts w:ascii="Segoe UI" w:hAnsi="Segoe UI" w:cs="Segoe UI"/>
      <w:sz w:val="18"/>
      <w:szCs w:val="18"/>
    </w:rPr>
  </w:style>
  <w:style w:type="character" w:customStyle="1" w:styleId="has-pretty-child">
    <w:name w:val="has-pretty-child"/>
    <w:basedOn w:val="Domylnaczcionkaakapitu"/>
    <w:rsid w:val="009C1988"/>
  </w:style>
  <w:style w:type="character" w:customStyle="1" w:styleId="hps">
    <w:name w:val="hps"/>
    <w:basedOn w:val="Domylnaczcionkaakapitu"/>
    <w:rsid w:val="00443C34"/>
  </w:style>
  <w:style w:type="character" w:customStyle="1" w:styleId="TekstpodstawowyZnak">
    <w:name w:val="Tekst podstawowy Znak"/>
    <w:link w:val="Tekstpodstawowy1"/>
    <w:semiHidden/>
    <w:locked/>
    <w:rsid w:val="003956B0"/>
    <w:rPr>
      <w:lang w:eastAsia="pl-PL"/>
    </w:rPr>
  </w:style>
  <w:style w:type="paragraph" w:customStyle="1" w:styleId="Tekstpodstawowy1">
    <w:name w:val="Tekst podstawowy1"/>
    <w:basedOn w:val="Normalny"/>
    <w:link w:val="TekstpodstawowyZnak"/>
    <w:semiHidden/>
    <w:rsid w:val="003956B0"/>
    <w:pPr>
      <w:spacing w:after="0" w:line="240" w:lineRule="auto"/>
      <w:jc w:val="both"/>
    </w:pPr>
    <w:rPr>
      <w:lang w:eastAsia="pl-PL"/>
    </w:rPr>
  </w:style>
  <w:style w:type="paragraph" w:styleId="Poprawka">
    <w:name w:val="Revision"/>
    <w:hidden/>
    <w:uiPriority w:val="99"/>
    <w:semiHidden/>
    <w:rsid w:val="00096D7A"/>
    <w:pPr>
      <w:spacing w:after="0" w:line="240" w:lineRule="auto"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778F3"/>
    <w:rPr>
      <w:color w:val="605E5C"/>
      <w:shd w:val="clear" w:color="auto" w:fill="E1DFDD"/>
    </w:rPr>
  </w:style>
  <w:style w:type="character" w:customStyle="1" w:styleId="font-semibold">
    <w:name w:val="font-semibold"/>
    <w:basedOn w:val="Domylnaczcionkaakapitu"/>
    <w:rsid w:val="00CE2079"/>
  </w:style>
  <w:style w:type="character" w:customStyle="1" w:styleId="Nagwek3Znak">
    <w:name w:val="Nagłówek 3 Znak"/>
    <w:basedOn w:val="Domylnaczcionkaakapitu"/>
    <w:link w:val="Nagwek3"/>
    <w:uiPriority w:val="9"/>
    <w:semiHidden/>
    <w:rsid w:val="008B0DA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0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8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6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2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2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7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60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6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0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7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73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89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97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92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05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06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60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01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82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3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9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70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43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84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92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72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0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46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66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16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73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7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9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11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55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64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44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53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27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05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53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39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38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57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80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9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91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11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43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90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3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43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41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75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27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6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56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40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0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00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9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44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6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05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54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94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54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95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07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0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1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98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00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11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02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35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83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82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9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3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27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64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84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29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57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61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3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9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72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94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89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0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51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83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12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47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0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71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72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7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69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33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9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3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90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72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46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83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5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16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59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0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57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33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59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76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81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14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04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2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01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0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85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85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43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8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81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0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7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38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78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7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67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48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7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40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57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6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8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69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71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49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0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ec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83919-3F0C-4151-AE3E-1A10D1B1F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6153</Words>
  <Characters>36918</Characters>
  <Application>Microsoft Office Word</Application>
  <DocSecurity>0</DocSecurity>
  <Lines>307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2026-02-05T14:05:00Z</dcterms:created>
  <dcterms:modified xsi:type="dcterms:W3CDTF">2026-05-06T11:45:00Z</dcterms:modified>
</cp:coreProperties>
</file>